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63" w:rsidRDefault="00C13C09" w:rsidP="00542AF6">
      <w:pPr>
        <w:pStyle w:val="Pagedecouverture"/>
      </w:pPr>
      <w:bookmarkStart w:id="0" w:name="LW_BM_COVERPAGE"/>
      <w:r>
        <w:rPr>
          <w:noProof/>
          <w:lang w:eastAsia="pl-PL"/>
        </w:rPr>
        <w:drawing>
          <wp:inline distT="0" distB="0" distL="0" distR="0">
            <wp:extent cx="5721350" cy="4425950"/>
            <wp:effectExtent l="0" t="0" r="0" b="0"/>
            <wp:docPr id="1" name="Obraz 1" descr="1B87B048-097A-475F-B750-86054E857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87B048-097A-475F-B750-86054E857DF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1350" cy="4425950"/>
                    </a:xfrm>
                    <a:prstGeom prst="rect">
                      <a:avLst/>
                    </a:prstGeom>
                    <a:noFill/>
                    <a:ln>
                      <a:noFill/>
                    </a:ln>
                  </pic:spPr>
                </pic:pic>
              </a:graphicData>
            </a:graphic>
          </wp:inline>
        </w:drawing>
      </w:r>
    </w:p>
    <w:bookmarkEnd w:id="0"/>
    <w:p w:rsidR="005B5E63" w:rsidRDefault="005B5E63">
      <w:pPr>
        <w:sectPr w:rsidR="005B5E63" w:rsidSect="00542AF6">
          <w:footerReference w:type="default" r:id="rId9"/>
          <w:pgSz w:w="11906" w:h="16838"/>
          <w:pgMar w:top="1134" w:right="1417" w:bottom="1134" w:left="1417" w:header="709" w:footer="709" w:gutter="0"/>
          <w:pgNumType w:start="0"/>
          <w:cols w:space="720"/>
          <w:docGrid w:linePitch="360"/>
        </w:sectPr>
      </w:pPr>
    </w:p>
    <w:p w:rsidR="005B5E63" w:rsidRDefault="00B858F1">
      <w:pPr>
        <w:jc w:val="center"/>
        <w:rPr>
          <w:rFonts w:asciiTheme="minorHAnsi" w:hAnsiTheme="minorHAnsi" w:cstheme="minorHAnsi"/>
          <w:b/>
          <w:sz w:val="36"/>
        </w:rPr>
      </w:pPr>
      <w:r>
        <w:rPr>
          <w:rFonts w:asciiTheme="minorHAnsi" w:hAnsiTheme="minorHAnsi"/>
          <w:b/>
          <w:sz w:val="36"/>
        </w:rPr>
        <w:lastRenderedPageBreak/>
        <w:t>Przygotowanie na zmiany</w:t>
      </w:r>
    </w:p>
    <w:p w:rsidR="005B5E63" w:rsidRDefault="00B858F1">
      <w:pPr>
        <w:jc w:val="center"/>
        <w:rPr>
          <w:rFonts w:asciiTheme="minorHAnsi" w:hAnsiTheme="minorHAnsi" w:cstheme="minorHAnsi"/>
          <w:b/>
          <w:sz w:val="36"/>
        </w:rPr>
      </w:pPr>
      <w:r>
        <w:rPr>
          <w:rFonts w:asciiTheme="minorHAnsi" w:hAnsiTheme="minorHAnsi"/>
          <w:b/>
          <w:sz w:val="36"/>
        </w:rPr>
        <w:t>Komunikat</w:t>
      </w:r>
      <w:r w:rsidR="00BE7466">
        <w:rPr>
          <w:rFonts w:asciiTheme="minorHAnsi" w:hAnsiTheme="minorHAnsi"/>
          <w:b/>
          <w:sz w:val="36"/>
        </w:rPr>
        <w:t xml:space="preserve"> o got</w:t>
      </w:r>
      <w:r>
        <w:rPr>
          <w:rFonts w:asciiTheme="minorHAnsi" w:hAnsiTheme="minorHAnsi"/>
          <w:b/>
          <w:sz w:val="36"/>
        </w:rPr>
        <w:t>owości na zmiany po zakończeniu okresu przejściowego między Unią Europejską</w:t>
      </w:r>
      <w:r w:rsidR="00BE7466">
        <w:rPr>
          <w:rFonts w:asciiTheme="minorHAnsi" w:hAnsiTheme="minorHAnsi"/>
          <w:b/>
          <w:sz w:val="36"/>
        </w:rPr>
        <w:t xml:space="preserve"> a Zje</w:t>
      </w:r>
      <w:r>
        <w:rPr>
          <w:rFonts w:asciiTheme="minorHAnsi" w:hAnsiTheme="minorHAnsi"/>
          <w:b/>
          <w:sz w:val="36"/>
        </w:rPr>
        <w:t xml:space="preserve">dnoczonym Królestwem </w:t>
      </w:r>
    </w:p>
    <w:sdt>
      <w:sdtPr>
        <w:rPr>
          <w:rFonts w:ascii="EC Square Sans Pro" w:eastAsiaTheme="minorHAnsi" w:hAnsi="EC Square Sans Pro" w:cstheme="minorBidi"/>
          <w:color w:val="auto"/>
          <w:sz w:val="22"/>
          <w:szCs w:val="22"/>
        </w:rPr>
        <w:id w:val="-1484696026"/>
        <w:docPartObj>
          <w:docPartGallery w:val="Table of Contents"/>
          <w:docPartUnique/>
        </w:docPartObj>
      </w:sdtPr>
      <w:sdtEndPr>
        <w:rPr>
          <w:b/>
          <w:bCs/>
          <w:noProof/>
        </w:rPr>
      </w:sdtEndPr>
      <w:sdtContent>
        <w:p w:rsidR="00BB305E" w:rsidRDefault="00BB305E">
          <w:pPr>
            <w:pStyle w:val="Nagwekspisutreci"/>
          </w:pPr>
        </w:p>
        <w:p w:rsidR="00BB305E" w:rsidRDefault="00595895">
          <w:pPr>
            <w:pStyle w:val="Spistreci1"/>
            <w:tabs>
              <w:tab w:val="left" w:pos="440"/>
              <w:tab w:val="right" w:leader="dot" w:pos="9062"/>
            </w:tabs>
            <w:rPr>
              <w:rFonts w:asciiTheme="minorHAnsi" w:eastAsiaTheme="minorEastAsia" w:hAnsiTheme="minorHAnsi"/>
              <w:noProof/>
              <w:lang w:eastAsia="pl-PL"/>
            </w:rPr>
          </w:pPr>
          <w:r w:rsidRPr="00595895">
            <w:fldChar w:fldCharType="begin"/>
          </w:r>
          <w:r w:rsidR="00BB305E">
            <w:instrText xml:space="preserve"> TOC \o "1-3" \h \z \u </w:instrText>
          </w:r>
          <w:r w:rsidRPr="00595895">
            <w:fldChar w:fldCharType="separate"/>
          </w:r>
          <w:hyperlink w:anchor="_Toc46136995" w:history="1">
            <w:r w:rsidR="00BB305E" w:rsidRPr="00650402">
              <w:rPr>
                <w:rStyle w:val="Hipercze"/>
                <w:rFonts w:cstheme="minorHAnsi"/>
                <w:noProof/>
                <w:lang w:val="fr-BE"/>
              </w:rPr>
              <w:t>I.</w:t>
            </w:r>
            <w:r w:rsidR="00BB305E">
              <w:rPr>
                <w:rFonts w:asciiTheme="minorHAnsi" w:eastAsiaTheme="minorEastAsia" w:hAnsiTheme="minorHAnsi"/>
                <w:noProof/>
                <w:lang w:eastAsia="pl-PL"/>
              </w:rPr>
              <w:tab/>
            </w:r>
            <w:r w:rsidR="00BB305E" w:rsidRPr="00650402">
              <w:rPr>
                <w:rStyle w:val="Hipercze"/>
                <w:noProof/>
              </w:rPr>
              <w:t>WPROWADZENIE</w:t>
            </w:r>
            <w:r w:rsidR="00BB305E">
              <w:rPr>
                <w:noProof/>
                <w:webHidden/>
              </w:rPr>
              <w:tab/>
            </w:r>
            <w:r>
              <w:rPr>
                <w:noProof/>
                <w:webHidden/>
              </w:rPr>
              <w:fldChar w:fldCharType="begin"/>
            </w:r>
            <w:r w:rsidR="00BB305E">
              <w:rPr>
                <w:noProof/>
                <w:webHidden/>
              </w:rPr>
              <w:instrText xml:space="preserve"> PAGEREF _Toc46136995 \h </w:instrText>
            </w:r>
            <w:r>
              <w:rPr>
                <w:noProof/>
                <w:webHidden/>
              </w:rPr>
            </w:r>
            <w:r>
              <w:rPr>
                <w:noProof/>
                <w:webHidden/>
              </w:rPr>
              <w:fldChar w:fldCharType="separate"/>
            </w:r>
            <w:r w:rsidR="00C13014">
              <w:rPr>
                <w:noProof/>
                <w:webHidden/>
              </w:rPr>
              <w:t>3</w:t>
            </w:r>
            <w:r>
              <w:rPr>
                <w:noProof/>
                <w:webHidden/>
              </w:rPr>
              <w:fldChar w:fldCharType="end"/>
            </w:r>
          </w:hyperlink>
        </w:p>
        <w:p w:rsidR="00BB305E" w:rsidRDefault="00595895">
          <w:pPr>
            <w:pStyle w:val="Spistreci1"/>
            <w:tabs>
              <w:tab w:val="left" w:pos="440"/>
              <w:tab w:val="right" w:leader="dot" w:pos="9062"/>
            </w:tabs>
            <w:rPr>
              <w:rFonts w:asciiTheme="minorHAnsi" w:eastAsiaTheme="minorEastAsia" w:hAnsiTheme="minorHAnsi"/>
              <w:noProof/>
              <w:lang w:eastAsia="pl-PL"/>
            </w:rPr>
          </w:pPr>
          <w:hyperlink w:anchor="_Toc46136996" w:history="1">
            <w:r w:rsidR="00BB305E" w:rsidRPr="00650402">
              <w:rPr>
                <w:rStyle w:val="Hipercze"/>
                <w:rFonts w:cstheme="minorHAnsi"/>
                <w:noProof/>
                <w:lang w:val="fr-BE"/>
              </w:rPr>
              <w:t>II.</w:t>
            </w:r>
            <w:r w:rsidR="00BB305E">
              <w:rPr>
                <w:rFonts w:asciiTheme="minorHAnsi" w:eastAsiaTheme="minorEastAsia" w:hAnsiTheme="minorHAnsi"/>
                <w:noProof/>
                <w:lang w:eastAsia="pl-PL"/>
              </w:rPr>
              <w:tab/>
            </w:r>
            <w:r w:rsidR="00BB305E" w:rsidRPr="00650402">
              <w:rPr>
                <w:rStyle w:val="Hipercze"/>
                <w:noProof/>
              </w:rPr>
              <w:t>ZMIANY, KTÓRE BĘDĄ MIAŁY MIEJSCE NIEZALEŻNIE OD SCENARIUSZA</w:t>
            </w:r>
            <w:r w:rsidR="00BB305E">
              <w:rPr>
                <w:noProof/>
                <w:webHidden/>
              </w:rPr>
              <w:tab/>
            </w:r>
            <w:r>
              <w:rPr>
                <w:noProof/>
                <w:webHidden/>
              </w:rPr>
              <w:fldChar w:fldCharType="begin"/>
            </w:r>
            <w:r w:rsidR="00BB305E">
              <w:rPr>
                <w:noProof/>
                <w:webHidden/>
              </w:rPr>
              <w:instrText xml:space="preserve"> PAGEREF _Toc46136996 \h </w:instrText>
            </w:r>
            <w:r>
              <w:rPr>
                <w:noProof/>
                <w:webHidden/>
              </w:rPr>
            </w:r>
            <w:r>
              <w:rPr>
                <w:noProof/>
                <w:webHidden/>
              </w:rPr>
              <w:fldChar w:fldCharType="separate"/>
            </w:r>
            <w:r w:rsidR="00C13014">
              <w:rPr>
                <w:noProof/>
                <w:webHidden/>
              </w:rPr>
              <w:t>5</w:t>
            </w:r>
            <w:r>
              <w:rPr>
                <w:noProof/>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6997" w:history="1">
            <w:r w:rsidR="00BB305E" w:rsidRPr="00650402">
              <w:rPr>
                <w:rStyle w:val="Hipercze"/>
              </w:rPr>
              <w:t>A.</w:t>
            </w:r>
            <w:r w:rsidR="00BB305E">
              <w:rPr>
                <w:rFonts w:asciiTheme="minorHAnsi" w:eastAsiaTheme="minorEastAsia" w:hAnsiTheme="minorHAnsi" w:cstheme="minorBidi"/>
                <w:b w:val="0"/>
                <w:lang w:eastAsia="pl-PL"/>
              </w:rPr>
              <w:tab/>
            </w:r>
            <w:r w:rsidR="00BB305E" w:rsidRPr="00650402">
              <w:rPr>
                <w:rStyle w:val="Hipercze"/>
              </w:rPr>
              <w:t>Handel towarami</w:t>
            </w:r>
            <w:r w:rsidR="00BB305E">
              <w:rPr>
                <w:webHidden/>
              </w:rPr>
              <w:tab/>
            </w:r>
            <w:r>
              <w:rPr>
                <w:webHidden/>
              </w:rPr>
              <w:fldChar w:fldCharType="begin"/>
            </w:r>
            <w:r w:rsidR="00BB305E">
              <w:rPr>
                <w:webHidden/>
              </w:rPr>
              <w:instrText xml:space="preserve"> PAGEREF _Toc46136997 \h </w:instrText>
            </w:r>
            <w:r>
              <w:rPr>
                <w:webHidden/>
              </w:rPr>
            </w:r>
            <w:r>
              <w:rPr>
                <w:webHidden/>
              </w:rPr>
              <w:fldChar w:fldCharType="separate"/>
            </w:r>
            <w:r w:rsidR="00C13014">
              <w:rPr>
                <w:webHidden/>
              </w:rPr>
              <w:t>6</w:t>
            </w:r>
            <w:r>
              <w:rPr>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6998" w:history="1">
            <w:r w:rsidR="00BB305E" w:rsidRPr="00650402">
              <w:rPr>
                <w:rStyle w:val="Hipercze"/>
                <w:noProof/>
              </w:rPr>
              <w:t>A.1. Formalności celne, odprawy</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kon</w:t>
            </w:r>
            <w:r w:rsidR="00BB305E" w:rsidRPr="00650402">
              <w:rPr>
                <w:rStyle w:val="Hipercze"/>
                <w:noProof/>
              </w:rPr>
              <w:t>trole celne</w:t>
            </w:r>
            <w:r w:rsidR="00BB305E">
              <w:rPr>
                <w:noProof/>
                <w:webHidden/>
              </w:rPr>
              <w:tab/>
            </w:r>
            <w:r>
              <w:rPr>
                <w:noProof/>
                <w:webHidden/>
              </w:rPr>
              <w:fldChar w:fldCharType="begin"/>
            </w:r>
            <w:r w:rsidR="00BB305E">
              <w:rPr>
                <w:noProof/>
                <w:webHidden/>
              </w:rPr>
              <w:instrText xml:space="preserve"> PAGEREF _Toc46136998 \h </w:instrText>
            </w:r>
            <w:r>
              <w:rPr>
                <w:noProof/>
                <w:webHidden/>
              </w:rPr>
            </w:r>
            <w:r>
              <w:rPr>
                <w:noProof/>
                <w:webHidden/>
              </w:rPr>
              <w:fldChar w:fldCharType="separate"/>
            </w:r>
            <w:r w:rsidR="00C13014">
              <w:rPr>
                <w:noProof/>
                <w:webHidden/>
              </w:rPr>
              <w:t>6</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6999" w:history="1">
            <w:r w:rsidR="00BB305E" w:rsidRPr="00650402">
              <w:rPr>
                <w:rStyle w:val="Hipercze"/>
                <w:noProof/>
              </w:rPr>
              <w:t>A.2. Przepisy prawa celnego</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prz</w:t>
            </w:r>
            <w:r w:rsidR="00BB305E" w:rsidRPr="00650402">
              <w:rPr>
                <w:rStyle w:val="Hipercze"/>
                <w:noProof/>
              </w:rPr>
              <w:t>episy podatkowe dotyczące przywozu</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wyw</w:t>
            </w:r>
            <w:r w:rsidR="00BB305E" w:rsidRPr="00650402">
              <w:rPr>
                <w:rStyle w:val="Hipercze"/>
                <w:noProof/>
              </w:rPr>
              <w:t>ozu towarów (taryfy, VAT, akcyza)</w:t>
            </w:r>
            <w:r w:rsidR="00BB305E">
              <w:rPr>
                <w:noProof/>
                <w:webHidden/>
              </w:rPr>
              <w:tab/>
            </w:r>
            <w:r>
              <w:rPr>
                <w:noProof/>
                <w:webHidden/>
              </w:rPr>
              <w:fldChar w:fldCharType="begin"/>
            </w:r>
            <w:r w:rsidR="00BB305E">
              <w:rPr>
                <w:noProof/>
                <w:webHidden/>
              </w:rPr>
              <w:instrText xml:space="preserve"> PAGEREF _Toc46136999 \h </w:instrText>
            </w:r>
            <w:r>
              <w:rPr>
                <w:noProof/>
                <w:webHidden/>
              </w:rPr>
            </w:r>
            <w:r>
              <w:rPr>
                <w:noProof/>
                <w:webHidden/>
              </w:rPr>
              <w:fldChar w:fldCharType="separate"/>
            </w:r>
            <w:r w:rsidR="00C13014">
              <w:rPr>
                <w:noProof/>
                <w:webHidden/>
              </w:rPr>
              <w:t>8</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0" w:history="1">
            <w:r w:rsidR="00BB305E" w:rsidRPr="00650402">
              <w:rPr>
                <w:rStyle w:val="Hipercze"/>
                <w:noProof/>
              </w:rPr>
              <w:t>A.3. Świadectwa</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zez</w:t>
            </w:r>
            <w:r w:rsidR="00BB305E" w:rsidRPr="00650402">
              <w:rPr>
                <w:rStyle w:val="Hipercze"/>
                <w:noProof/>
              </w:rPr>
              <w:t>wolenia dotyczące produktów, wymogi dotyczące prowadzenia działalności gospodarczej, etykietowanie</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ozn</w:t>
            </w:r>
            <w:r w:rsidR="00BB305E" w:rsidRPr="00650402">
              <w:rPr>
                <w:rStyle w:val="Hipercze"/>
                <w:noProof/>
              </w:rPr>
              <w:t>aczanie</w:t>
            </w:r>
            <w:r w:rsidR="00BB305E">
              <w:rPr>
                <w:noProof/>
                <w:webHidden/>
              </w:rPr>
              <w:tab/>
            </w:r>
            <w:r>
              <w:rPr>
                <w:noProof/>
                <w:webHidden/>
              </w:rPr>
              <w:fldChar w:fldCharType="begin"/>
            </w:r>
            <w:r w:rsidR="00BB305E">
              <w:rPr>
                <w:noProof/>
                <w:webHidden/>
              </w:rPr>
              <w:instrText xml:space="preserve"> PAGEREF _Toc46137000 \h </w:instrText>
            </w:r>
            <w:r>
              <w:rPr>
                <w:noProof/>
                <w:webHidden/>
              </w:rPr>
            </w:r>
            <w:r>
              <w:rPr>
                <w:noProof/>
                <w:webHidden/>
              </w:rPr>
              <w:fldChar w:fldCharType="separate"/>
            </w:r>
            <w:r w:rsidR="00C13014">
              <w:rPr>
                <w:noProof/>
                <w:webHidden/>
              </w:rPr>
              <w:t>10</w:t>
            </w:r>
            <w:r>
              <w:rPr>
                <w:noProof/>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01" w:history="1">
            <w:r w:rsidR="00BB305E" w:rsidRPr="00650402">
              <w:rPr>
                <w:rStyle w:val="Hipercze"/>
              </w:rPr>
              <w:t>B.</w:t>
            </w:r>
            <w:r w:rsidR="00BB305E">
              <w:rPr>
                <w:rFonts w:asciiTheme="minorHAnsi" w:eastAsiaTheme="minorEastAsia" w:hAnsiTheme="minorHAnsi" w:cstheme="minorBidi"/>
                <w:b w:val="0"/>
                <w:lang w:eastAsia="pl-PL"/>
              </w:rPr>
              <w:tab/>
            </w:r>
            <w:r w:rsidR="00BB305E" w:rsidRPr="00650402">
              <w:rPr>
                <w:rStyle w:val="Hipercze"/>
              </w:rPr>
              <w:t>Handel usługami</w:t>
            </w:r>
            <w:r w:rsidR="00BB305E">
              <w:rPr>
                <w:webHidden/>
              </w:rPr>
              <w:tab/>
            </w:r>
            <w:r>
              <w:rPr>
                <w:webHidden/>
              </w:rPr>
              <w:fldChar w:fldCharType="begin"/>
            </w:r>
            <w:r w:rsidR="00BB305E">
              <w:rPr>
                <w:webHidden/>
              </w:rPr>
              <w:instrText xml:space="preserve"> PAGEREF _Toc46137001 \h </w:instrText>
            </w:r>
            <w:r>
              <w:rPr>
                <w:webHidden/>
              </w:rPr>
            </w:r>
            <w:r>
              <w:rPr>
                <w:webHidden/>
              </w:rPr>
              <w:fldChar w:fldCharType="separate"/>
            </w:r>
            <w:r w:rsidR="00C13014">
              <w:rPr>
                <w:webHidden/>
              </w:rPr>
              <w:t>12</w:t>
            </w:r>
            <w:r>
              <w:rPr>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2" w:history="1">
            <w:r w:rsidR="00BB305E" w:rsidRPr="00650402">
              <w:rPr>
                <w:rStyle w:val="Hipercze"/>
                <w:noProof/>
              </w:rPr>
              <w:t>B.1. Usługi finansowe</w:t>
            </w:r>
            <w:r w:rsidR="00BB305E">
              <w:rPr>
                <w:noProof/>
                <w:webHidden/>
              </w:rPr>
              <w:tab/>
            </w:r>
            <w:r>
              <w:rPr>
                <w:noProof/>
                <w:webHidden/>
              </w:rPr>
              <w:fldChar w:fldCharType="begin"/>
            </w:r>
            <w:r w:rsidR="00BB305E">
              <w:rPr>
                <w:noProof/>
                <w:webHidden/>
              </w:rPr>
              <w:instrText xml:space="preserve"> PAGEREF _Toc46137002 \h </w:instrText>
            </w:r>
            <w:r>
              <w:rPr>
                <w:noProof/>
                <w:webHidden/>
              </w:rPr>
            </w:r>
            <w:r>
              <w:rPr>
                <w:noProof/>
                <w:webHidden/>
              </w:rPr>
              <w:fldChar w:fldCharType="separate"/>
            </w:r>
            <w:r w:rsidR="00C13014">
              <w:rPr>
                <w:noProof/>
                <w:webHidden/>
              </w:rPr>
              <w:t>13</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3" w:history="1">
            <w:r w:rsidR="00BB305E" w:rsidRPr="00650402">
              <w:rPr>
                <w:rStyle w:val="Hipercze"/>
                <w:noProof/>
              </w:rPr>
              <w:t>B.2. Usługi transportowe</w:t>
            </w:r>
            <w:r w:rsidR="00BB305E">
              <w:rPr>
                <w:noProof/>
                <w:webHidden/>
              </w:rPr>
              <w:tab/>
            </w:r>
            <w:r>
              <w:rPr>
                <w:noProof/>
                <w:webHidden/>
              </w:rPr>
              <w:fldChar w:fldCharType="begin"/>
            </w:r>
            <w:r w:rsidR="00BB305E">
              <w:rPr>
                <w:noProof/>
                <w:webHidden/>
              </w:rPr>
              <w:instrText xml:space="preserve"> PAGEREF _Toc46137003 \h </w:instrText>
            </w:r>
            <w:r>
              <w:rPr>
                <w:noProof/>
                <w:webHidden/>
              </w:rPr>
            </w:r>
            <w:r>
              <w:rPr>
                <w:noProof/>
                <w:webHidden/>
              </w:rPr>
              <w:fldChar w:fldCharType="separate"/>
            </w:r>
            <w:r w:rsidR="00C13014">
              <w:rPr>
                <w:noProof/>
                <w:webHidden/>
              </w:rPr>
              <w:t>17</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4" w:history="1">
            <w:r w:rsidR="00BB305E" w:rsidRPr="00650402">
              <w:rPr>
                <w:rStyle w:val="Hipercze"/>
                <w:noProof/>
              </w:rPr>
              <w:t>B.3. Usługi audiowizualne</w:t>
            </w:r>
            <w:r w:rsidR="00BB305E">
              <w:rPr>
                <w:noProof/>
                <w:webHidden/>
              </w:rPr>
              <w:tab/>
            </w:r>
            <w:r>
              <w:rPr>
                <w:noProof/>
                <w:webHidden/>
              </w:rPr>
              <w:fldChar w:fldCharType="begin"/>
            </w:r>
            <w:r w:rsidR="00BB305E">
              <w:rPr>
                <w:noProof/>
                <w:webHidden/>
              </w:rPr>
              <w:instrText xml:space="preserve"> PAGEREF _Toc46137004 \h </w:instrText>
            </w:r>
            <w:r>
              <w:rPr>
                <w:noProof/>
                <w:webHidden/>
              </w:rPr>
            </w:r>
            <w:r>
              <w:rPr>
                <w:noProof/>
                <w:webHidden/>
              </w:rPr>
              <w:fldChar w:fldCharType="separate"/>
            </w:r>
            <w:r w:rsidR="00C13014">
              <w:rPr>
                <w:noProof/>
                <w:webHidden/>
              </w:rPr>
              <w:t>18</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5" w:history="1">
            <w:r w:rsidR="00BB305E" w:rsidRPr="00650402">
              <w:rPr>
                <w:rStyle w:val="Hipercze"/>
                <w:noProof/>
              </w:rPr>
              <w:t>B.4. Uznawanie kwalifikacji zawodowych</w:t>
            </w:r>
            <w:r w:rsidR="00BB305E">
              <w:rPr>
                <w:noProof/>
                <w:webHidden/>
              </w:rPr>
              <w:tab/>
            </w:r>
            <w:r>
              <w:rPr>
                <w:noProof/>
                <w:webHidden/>
              </w:rPr>
              <w:fldChar w:fldCharType="begin"/>
            </w:r>
            <w:r w:rsidR="00BB305E">
              <w:rPr>
                <w:noProof/>
                <w:webHidden/>
              </w:rPr>
              <w:instrText xml:space="preserve"> PAGEREF _Toc46137005 \h </w:instrText>
            </w:r>
            <w:r>
              <w:rPr>
                <w:noProof/>
                <w:webHidden/>
              </w:rPr>
            </w:r>
            <w:r>
              <w:rPr>
                <w:noProof/>
                <w:webHidden/>
              </w:rPr>
              <w:fldChar w:fldCharType="separate"/>
            </w:r>
            <w:r w:rsidR="00C13014">
              <w:rPr>
                <w:noProof/>
                <w:webHidden/>
              </w:rPr>
              <w:t>19</w:t>
            </w:r>
            <w:r>
              <w:rPr>
                <w:noProof/>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06" w:history="1">
            <w:r w:rsidR="00BB305E" w:rsidRPr="00650402">
              <w:rPr>
                <w:rStyle w:val="Hipercze"/>
              </w:rPr>
              <w:t>C.</w:t>
            </w:r>
            <w:r w:rsidR="00BB305E">
              <w:rPr>
                <w:rFonts w:asciiTheme="minorHAnsi" w:eastAsiaTheme="minorEastAsia" w:hAnsiTheme="minorHAnsi" w:cstheme="minorBidi"/>
                <w:b w:val="0"/>
                <w:lang w:eastAsia="pl-PL"/>
              </w:rPr>
              <w:tab/>
            </w:r>
            <w:r w:rsidR="00BB305E" w:rsidRPr="00650402">
              <w:rPr>
                <w:rStyle w:val="Hipercze"/>
              </w:rPr>
              <w:t>Energia</w:t>
            </w:r>
            <w:r w:rsidR="00BB305E">
              <w:rPr>
                <w:webHidden/>
              </w:rPr>
              <w:tab/>
            </w:r>
            <w:r>
              <w:rPr>
                <w:webHidden/>
              </w:rPr>
              <w:fldChar w:fldCharType="begin"/>
            </w:r>
            <w:r w:rsidR="00BB305E">
              <w:rPr>
                <w:webHidden/>
              </w:rPr>
              <w:instrText xml:space="preserve"> PAGEREF _Toc46137006 \h </w:instrText>
            </w:r>
            <w:r>
              <w:rPr>
                <w:webHidden/>
              </w:rPr>
            </w:r>
            <w:r>
              <w:rPr>
                <w:webHidden/>
              </w:rPr>
              <w:fldChar w:fldCharType="separate"/>
            </w:r>
            <w:r w:rsidR="00C13014">
              <w:rPr>
                <w:webHidden/>
              </w:rPr>
              <w:t>20</w:t>
            </w:r>
            <w:r>
              <w:rPr>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07" w:history="1">
            <w:r w:rsidR="00BB305E" w:rsidRPr="00650402">
              <w:rPr>
                <w:rStyle w:val="Hipercze"/>
              </w:rPr>
              <w:t>D.</w:t>
            </w:r>
            <w:r w:rsidR="00BB305E">
              <w:rPr>
                <w:rFonts w:asciiTheme="minorHAnsi" w:eastAsiaTheme="minorEastAsia" w:hAnsiTheme="minorHAnsi" w:cstheme="minorBidi"/>
                <w:b w:val="0"/>
                <w:lang w:eastAsia="pl-PL"/>
              </w:rPr>
              <w:tab/>
            </w:r>
            <w:r w:rsidR="00BB305E" w:rsidRPr="00650402">
              <w:rPr>
                <w:rStyle w:val="Hipercze"/>
              </w:rPr>
              <w:t>Podróże</w:t>
            </w:r>
            <w:r w:rsidR="00BE7466" w:rsidRPr="00650402">
              <w:rPr>
                <w:rStyle w:val="Hipercze"/>
              </w:rPr>
              <w:t xml:space="preserve"> i</w:t>
            </w:r>
            <w:r w:rsidR="00BE7466">
              <w:rPr>
                <w:rStyle w:val="Hipercze"/>
                <w:rFonts w:ascii="Calibri" w:hAnsi="Calibri" w:cs="Calibri"/>
              </w:rPr>
              <w:t> </w:t>
            </w:r>
            <w:r w:rsidR="00BE7466" w:rsidRPr="00650402">
              <w:rPr>
                <w:rStyle w:val="Hipercze"/>
              </w:rPr>
              <w:t>tur</w:t>
            </w:r>
            <w:r w:rsidR="00BB305E" w:rsidRPr="00650402">
              <w:rPr>
                <w:rStyle w:val="Hipercze"/>
              </w:rPr>
              <w:t>ystyka</w:t>
            </w:r>
            <w:r w:rsidR="00BB305E">
              <w:rPr>
                <w:webHidden/>
              </w:rPr>
              <w:tab/>
            </w:r>
            <w:r>
              <w:rPr>
                <w:webHidden/>
              </w:rPr>
              <w:fldChar w:fldCharType="begin"/>
            </w:r>
            <w:r w:rsidR="00BB305E">
              <w:rPr>
                <w:webHidden/>
              </w:rPr>
              <w:instrText xml:space="preserve"> PAGEREF _Toc46137007 \h </w:instrText>
            </w:r>
            <w:r>
              <w:rPr>
                <w:webHidden/>
              </w:rPr>
            </w:r>
            <w:r>
              <w:rPr>
                <w:webHidden/>
              </w:rPr>
              <w:fldChar w:fldCharType="separate"/>
            </w:r>
            <w:r w:rsidR="00C13014">
              <w:rPr>
                <w:webHidden/>
              </w:rPr>
              <w:t>20</w:t>
            </w:r>
            <w:r>
              <w:rPr>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8" w:history="1">
            <w:r w:rsidR="00BB305E" w:rsidRPr="00BB305E">
              <w:rPr>
                <w:rStyle w:val="Hipercze"/>
                <w:noProof/>
              </w:rPr>
              <w:t>Kontrole osób</w:t>
            </w:r>
            <w:r w:rsidR="00BB305E">
              <w:rPr>
                <w:noProof/>
                <w:webHidden/>
              </w:rPr>
              <w:tab/>
            </w:r>
            <w:r>
              <w:rPr>
                <w:noProof/>
                <w:webHidden/>
              </w:rPr>
              <w:fldChar w:fldCharType="begin"/>
            </w:r>
            <w:r w:rsidR="00BB305E">
              <w:rPr>
                <w:noProof/>
                <w:webHidden/>
              </w:rPr>
              <w:instrText xml:space="preserve"> PAGEREF _Toc46137008 \h </w:instrText>
            </w:r>
            <w:r>
              <w:rPr>
                <w:noProof/>
                <w:webHidden/>
              </w:rPr>
            </w:r>
            <w:r>
              <w:rPr>
                <w:noProof/>
                <w:webHidden/>
              </w:rPr>
              <w:fldChar w:fldCharType="separate"/>
            </w:r>
            <w:r w:rsidR="00C13014">
              <w:rPr>
                <w:noProof/>
                <w:webHidden/>
              </w:rPr>
              <w:t>20</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09" w:history="1">
            <w:r w:rsidR="00BB305E" w:rsidRPr="00BB305E">
              <w:rPr>
                <w:rStyle w:val="Hipercze"/>
                <w:noProof/>
              </w:rPr>
              <w:t>Obowiązki wizowe</w:t>
            </w:r>
            <w:r w:rsidR="00BB305E">
              <w:rPr>
                <w:noProof/>
                <w:webHidden/>
              </w:rPr>
              <w:tab/>
            </w:r>
            <w:r>
              <w:rPr>
                <w:noProof/>
                <w:webHidden/>
              </w:rPr>
              <w:fldChar w:fldCharType="begin"/>
            </w:r>
            <w:r w:rsidR="00BB305E">
              <w:rPr>
                <w:noProof/>
                <w:webHidden/>
              </w:rPr>
              <w:instrText xml:space="preserve"> PAGEREF _Toc46137009 \h </w:instrText>
            </w:r>
            <w:r>
              <w:rPr>
                <w:noProof/>
                <w:webHidden/>
              </w:rPr>
            </w:r>
            <w:r>
              <w:rPr>
                <w:noProof/>
                <w:webHidden/>
              </w:rPr>
              <w:fldChar w:fldCharType="separate"/>
            </w:r>
            <w:r w:rsidR="00C13014">
              <w:rPr>
                <w:noProof/>
                <w:webHidden/>
              </w:rPr>
              <w:t>21</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0" w:history="1">
            <w:r w:rsidR="00BB305E" w:rsidRPr="00BB305E">
              <w:rPr>
                <w:rStyle w:val="Hipercze"/>
                <w:noProof/>
              </w:rPr>
              <w:t>Prawa jazdy</w:t>
            </w:r>
            <w:r w:rsidR="00BB305E">
              <w:rPr>
                <w:noProof/>
                <w:webHidden/>
              </w:rPr>
              <w:tab/>
            </w:r>
            <w:r>
              <w:rPr>
                <w:noProof/>
                <w:webHidden/>
              </w:rPr>
              <w:fldChar w:fldCharType="begin"/>
            </w:r>
            <w:r w:rsidR="00BB305E">
              <w:rPr>
                <w:noProof/>
                <w:webHidden/>
              </w:rPr>
              <w:instrText xml:space="preserve"> PAGEREF _Toc46137010 \h </w:instrText>
            </w:r>
            <w:r>
              <w:rPr>
                <w:noProof/>
                <w:webHidden/>
              </w:rPr>
            </w:r>
            <w:r>
              <w:rPr>
                <w:noProof/>
                <w:webHidden/>
              </w:rPr>
              <w:fldChar w:fldCharType="separate"/>
            </w:r>
            <w:r w:rsidR="00C13014">
              <w:rPr>
                <w:noProof/>
                <w:webHidden/>
              </w:rPr>
              <w:t>21</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1" w:history="1">
            <w:r w:rsidR="00BB305E" w:rsidRPr="00BB305E">
              <w:rPr>
                <w:rStyle w:val="Hipercze"/>
                <w:noProof/>
              </w:rPr>
              <w:t>Roaming</w:t>
            </w:r>
            <w:r w:rsidR="00BB305E">
              <w:rPr>
                <w:noProof/>
                <w:webHidden/>
              </w:rPr>
              <w:tab/>
            </w:r>
            <w:r>
              <w:rPr>
                <w:noProof/>
                <w:webHidden/>
              </w:rPr>
              <w:fldChar w:fldCharType="begin"/>
            </w:r>
            <w:r w:rsidR="00BB305E">
              <w:rPr>
                <w:noProof/>
                <w:webHidden/>
              </w:rPr>
              <w:instrText xml:space="preserve"> PAGEREF _Toc46137011 \h </w:instrText>
            </w:r>
            <w:r>
              <w:rPr>
                <w:noProof/>
                <w:webHidden/>
              </w:rPr>
            </w:r>
            <w:r>
              <w:rPr>
                <w:noProof/>
                <w:webHidden/>
              </w:rPr>
              <w:fldChar w:fldCharType="separate"/>
            </w:r>
            <w:r w:rsidR="00C13014">
              <w:rPr>
                <w:noProof/>
                <w:webHidden/>
              </w:rPr>
              <w:t>22</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2" w:history="1">
            <w:r w:rsidR="00BB305E" w:rsidRPr="00BB305E">
              <w:rPr>
                <w:rStyle w:val="Hipercze"/>
                <w:noProof/>
              </w:rPr>
              <w:t>Prawa pasażerów</w:t>
            </w:r>
            <w:r w:rsidR="00BB305E">
              <w:rPr>
                <w:noProof/>
                <w:webHidden/>
              </w:rPr>
              <w:tab/>
            </w:r>
            <w:r>
              <w:rPr>
                <w:noProof/>
                <w:webHidden/>
              </w:rPr>
              <w:fldChar w:fldCharType="begin"/>
            </w:r>
            <w:r w:rsidR="00BB305E">
              <w:rPr>
                <w:noProof/>
                <w:webHidden/>
              </w:rPr>
              <w:instrText xml:space="preserve"> PAGEREF _Toc46137012 \h </w:instrText>
            </w:r>
            <w:r>
              <w:rPr>
                <w:noProof/>
                <w:webHidden/>
              </w:rPr>
            </w:r>
            <w:r>
              <w:rPr>
                <w:noProof/>
                <w:webHidden/>
              </w:rPr>
              <w:fldChar w:fldCharType="separate"/>
            </w:r>
            <w:r w:rsidR="00C13014">
              <w:rPr>
                <w:noProof/>
                <w:webHidden/>
              </w:rPr>
              <w:t>22</w:t>
            </w:r>
            <w:r>
              <w:rPr>
                <w:noProof/>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13" w:history="1">
            <w:r w:rsidR="00BB305E" w:rsidRPr="00650402">
              <w:rPr>
                <w:rStyle w:val="Hipercze"/>
              </w:rPr>
              <w:t>E.</w:t>
            </w:r>
            <w:r w:rsidR="00BB305E">
              <w:rPr>
                <w:rFonts w:asciiTheme="minorHAnsi" w:eastAsiaTheme="minorEastAsia" w:hAnsiTheme="minorHAnsi" w:cstheme="minorBidi"/>
                <w:b w:val="0"/>
                <w:lang w:eastAsia="pl-PL"/>
              </w:rPr>
              <w:tab/>
            </w:r>
            <w:r w:rsidR="00BB305E" w:rsidRPr="00650402">
              <w:rPr>
                <w:rStyle w:val="Hipercze"/>
              </w:rPr>
              <w:t>Mobilność</w:t>
            </w:r>
            <w:r w:rsidR="00BE7466" w:rsidRPr="00650402">
              <w:rPr>
                <w:rStyle w:val="Hipercze"/>
              </w:rPr>
              <w:t xml:space="preserve"> i</w:t>
            </w:r>
            <w:r w:rsidR="00BE7466">
              <w:rPr>
                <w:rStyle w:val="Hipercze"/>
                <w:rFonts w:ascii="Calibri" w:hAnsi="Calibri" w:cs="Calibri"/>
              </w:rPr>
              <w:t> </w:t>
            </w:r>
            <w:r w:rsidR="00BE7466" w:rsidRPr="00650402">
              <w:rPr>
                <w:rStyle w:val="Hipercze"/>
              </w:rPr>
              <w:t>koo</w:t>
            </w:r>
            <w:r w:rsidR="00BB305E" w:rsidRPr="00650402">
              <w:rPr>
                <w:rStyle w:val="Hipercze"/>
              </w:rPr>
              <w:t>rdynacja zabezpieczenia społecznego</w:t>
            </w:r>
            <w:r w:rsidR="00BB305E">
              <w:rPr>
                <w:webHidden/>
              </w:rPr>
              <w:tab/>
            </w:r>
            <w:r>
              <w:rPr>
                <w:webHidden/>
              </w:rPr>
              <w:fldChar w:fldCharType="begin"/>
            </w:r>
            <w:r w:rsidR="00BB305E">
              <w:rPr>
                <w:webHidden/>
              </w:rPr>
              <w:instrText xml:space="preserve"> PAGEREF _Toc46137013 \h </w:instrText>
            </w:r>
            <w:r>
              <w:rPr>
                <w:webHidden/>
              </w:rPr>
            </w:r>
            <w:r>
              <w:rPr>
                <w:webHidden/>
              </w:rPr>
              <w:fldChar w:fldCharType="separate"/>
            </w:r>
            <w:r w:rsidR="00C13014">
              <w:rPr>
                <w:webHidden/>
              </w:rPr>
              <w:t>23</w:t>
            </w:r>
            <w:r>
              <w:rPr>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14" w:history="1">
            <w:r w:rsidR="00BB305E" w:rsidRPr="00650402">
              <w:rPr>
                <w:rStyle w:val="Hipercze"/>
              </w:rPr>
              <w:t>F.</w:t>
            </w:r>
            <w:r w:rsidR="00BB305E">
              <w:rPr>
                <w:rFonts w:asciiTheme="minorHAnsi" w:eastAsiaTheme="minorEastAsia" w:hAnsiTheme="minorHAnsi" w:cstheme="minorBidi"/>
                <w:b w:val="0"/>
                <w:lang w:eastAsia="pl-PL"/>
              </w:rPr>
              <w:tab/>
            </w:r>
            <w:r w:rsidR="00BB305E" w:rsidRPr="00650402">
              <w:rPr>
                <w:rStyle w:val="Hipercze"/>
              </w:rPr>
              <w:t>Prawo spółek</w:t>
            </w:r>
            <w:r w:rsidR="00BE7466" w:rsidRPr="00650402">
              <w:rPr>
                <w:rStyle w:val="Hipercze"/>
              </w:rPr>
              <w:t xml:space="preserve"> i</w:t>
            </w:r>
            <w:r w:rsidR="00BE7466">
              <w:rPr>
                <w:rStyle w:val="Hipercze"/>
                <w:rFonts w:ascii="Calibri" w:hAnsi="Calibri" w:cs="Calibri"/>
              </w:rPr>
              <w:t> </w:t>
            </w:r>
            <w:r w:rsidR="00BE7466" w:rsidRPr="00650402">
              <w:rPr>
                <w:rStyle w:val="Hipercze"/>
              </w:rPr>
              <w:t>pra</w:t>
            </w:r>
            <w:r w:rsidR="00BB305E" w:rsidRPr="00650402">
              <w:rPr>
                <w:rStyle w:val="Hipercze"/>
              </w:rPr>
              <w:t>wo cywilne</w:t>
            </w:r>
            <w:r w:rsidR="00BB305E">
              <w:rPr>
                <w:webHidden/>
              </w:rPr>
              <w:tab/>
            </w:r>
            <w:r>
              <w:rPr>
                <w:webHidden/>
              </w:rPr>
              <w:fldChar w:fldCharType="begin"/>
            </w:r>
            <w:r w:rsidR="00BB305E">
              <w:rPr>
                <w:webHidden/>
              </w:rPr>
              <w:instrText xml:space="preserve"> PAGEREF _Toc46137014 \h </w:instrText>
            </w:r>
            <w:r>
              <w:rPr>
                <w:webHidden/>
              </w:rPr>
            </w:r>
            <w:r>
              <w:rPr>
                <w:webHidden/>
              </w:rPr>
              <w:fldChar w:fldCharType="separate"/>
            </w:r>
            <w:r w:rsidR="00C13014">
              <w:rPr>
                <w:webHidden/>
              </w:rPr>
              <w:t>24</w:t>
            </w:r>
            <w:r>
              <w:rPr>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5" w:history="1">
            <w:r w:rsidR="00BB305E" w:rsidRPr="00650402">
              <w:rPr>
                <w:rStyle w:val="Hipercze"/>
                <w:noProof/>
              </w:rPr>
              <w:t>F.1. Spółki zarejestrowane</w:t>
            </w:r>
            <w:r w:rsidR="00BE7466" w:rsidRPr="00650402">
              <w:rPr>
                <w:rStyle w:val="Hipercze"/>
                <w:noProof/>
              </w:rPr>
              <w:t xml:space="preserve"> w</w:t>
            </w:r>
            <w:r w:rsidR="00BE7466">
              <w:rPr>
                <w:rStyle w:val="Hipercze"/>
                <w:rFonts w:ascii="Calibri" w:hAnsi="Calibri" w:cs="Calibri"/>
                <w:noProof/>
              </w:rPr>
              <w:t> </w:t>
            </w:r>
            <w:r w:rsidR="00BE7466" w:rsidRPr="00650402">
              <w:rPr>
                <w:rStyle w:val="Hipercze"/>
                <w:noProof/>
              </w:rPr>
              <w:t>Zje</w:t>
            </w:r>
            <w:r w:rsidR="00BB305E" w:rsidRPr="00650402">
              <w:rPr>
                <w:rStyle w:val="Hipercze"/>
                <w:noProof/>
              </w:rPr>
              <w:t>dnoczonym Królestwie</w:t>
            </w:r>
            <w:r w:rsidR="00BB305E">
              <w:rPr>
                <w:noProof/>
                <w:webHidden/>
              </w:rPr>
              <w:tab/>
            </w:r>
            <w:r>
              <w:rPr>
                <w:noProof/>
                <w:webHidden/>
              </w:rPr>
              <w:fldChar w:fldCharType="begin"/>
            </w:r>
            <w:r w:rsidR="00BB305E">
              <w:rPr>
                <w:noProof/>
                <w:webHidden/>
              </w:rPr>
              <w:instrText xml:space="preserve"> PAGEREF _Toc46137015 \h </w:instrText>
            </w:r>
            <w:r>
              <w:rPr>
                <w:noProof/>
                <w:webHidden/>
              </w:rPr>
            </w:r>
            <w:r>
              <w:rPr>
                <w:noProof/>
                <w:webHidden/>
              </w:rPr>
              <w:fldChar w:fldCharType="separate"/>
            </w:r>
            <w:r w:rsidR="00C13014">
              <w:rPr>
                <w:noProof/>
                <w:webHidden/>
              </w:rPr>
              <w:t>24</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6" w:history="1">
            <w:r w:rsidR="00BB305E" w:rsidRPr="00650402">
              <w:rPr>
                <w:rStyle w:val="Hipercze"/>
                <w:noProof/>
              </w:rPr>
              <w:t>F.2. Umowny wybór jurysdykcji</w:t>
            </w:r>
            <w:r w:rsidR="00BB305E">
              <w:rPr>
                <w:noProof/>
                <w:webHidden/>
              </w:rPr>
              <w:tab/>
            </w:r>
            <w:r>
              <w:rPr>
                <w:noProof/>
                <w:webHidden/>
              </w:rPr>
              <w:fldChar w:fldCharType="begin"/>
            </w:r>
            <w:r w:rsidR="00BB305E">
              <w:rPr>
                <w:noProof/>
                <w:webHidden/>
              </w:rPr>
              <w:instrText xml:space="preserve"> PAGEREF _Toc46137016 \h </w:instrText>
            </w:r>
            <w:r>
              <w:rPr>
                <w:noProof/>
                <w:webHidden/>
              </w:rPr>
            </w:r>
            <w:r>
              <w:rPr>
                <w:noProof/>
                <w:webHidden/>
              </w:rPr>
              <w:fldChar w:fldCharType="separate"/>
            </w:r>
            <w:r w:rsidR="00C13014">
              <w:rPr>
                <w:noProof/>
                <w:webHidden/>
              </w:rPr>
              <w:t>24</w:t>
            </w:r>
            <w:r>
              <w:rPr>
                <w:noProof/>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17" w:history="1">
            <w:r w:rsidR="00BB305E" w:rsidRPr="00650402">
              <w:rPr>
                <w:rStyle w:val="Hipercze"/>
              </w:rPr>
              <w:t>G.</w:t>
            </w:r>
            <w:r w:rsidR="00BB305E">
              <w:rPr>
                <w:rFonts w:asciiTheme="minorHAnsi" w:eastAsiaTheme="minorEastAsia" w:hAnsiTheme="minorHAnsi" w:cstheme="minorBidi"/>
                <w:b w:val="0"/>
                <w:lang w:eastAsia="pl-PL"/>
              </w:rPr>
              <w:tab/>
            </w:r>
            <w:r w:rsidR="00BB305E" w:rsidRPr="00650402">
              <w:rPr>
                <w:rStyle w:val="Hipercze"/>
              </w:rPr>
              <w:t>Pozostałe aspekty: dane, prawa cyfrowe</w:t>
            </w:r>
            <w:r w:rsidR="00BE7466" w:rsidRPr="00650402">
              <w:rPr>
                <w:rStyle w:val="Hipercze"/>
              </w:rPr>
              <w:t xml:space="preserve"> i</w:t>
            </w:r>
            <w:r w:rsidR="00BE7466">
              <w:rPr>
                <w:rStyle w:val="Hipercze"/>
                <w:rFonts w:ascii="Calibri" w:hAnsi="Calibri" w:cs="Calibri"/>
              </w:rPr>
              <w:t> </w:t>
            </w:r>
            <w:r w:rsidR="00BE7466" w:rsidRPr="00650402">
              <w:rPr>
                <w:rStyle w:val="Hipercze"/>
              </w:rPr>
              <w:t>pra</w:t>
            </w:r>
            <w:r w:rsidR="00BB305E" w:rsidRPr="00650402">
              <w:rPr>
                <w:rStyle w:val="Hipercze"/>
              </w:rPr>
              <w:t>wa własności intelektualnej</w:t>
            </w:r>
            <w:r w:rsidR="00BB305E">
              <w:rPr>
                <w:webHidden/>
              </w:rPr>
              <w:tab/>
            </w:r>
            <w:r>
              <w:rPr>
                <w:webHidden/>
              </w:rPr>
              <w:fldChar w:fldCharType="begin"/>
            </w:r>
            <w:r w:rsidR="00BB305E">
              <w:rPr>
                <w:webHidden/>
              </w:rPr>
              <w:instrText xml:space="preserve"> PAGEREF _Toc46137017 \h </w:instrText>
            </w:r>
            <w:r>
              <w:rPr>
                <w:webHidden/>
              </w:rPr>
            </w:r>
            <w:r>
              <w:rPr>
                <w:webHidden/>
              </w:rPr>
              <w:fldChar w:fldCharType="separate"/>
            </w:r>
            <w:r w:rsidR="00C13014">
              <w:rPr>
                <w:webHidden/>
              </w:rPr>
              <w:t>25</w:t>
            </w:r>
            <w:r>
              <w:rPr>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8" w:history="1">
            <w:r w:rsidR="00BB305E" w:rsidRPr="00650402">
              <w:rPr>
                <w:rStyle w:val="Hipercze"/>
                <w:noProof/>
              </w:rPr>
              <w:t>G.1. Własność intelektualna</w:t>
            </w:r>
            <w:r w:rsidR="00BB305E">
              <w:rPr>
                <w:noProof/>
                <w:webHidden/>
              </w:rPr>
              <w:tab/>
            </w:r>
            <w:r>
              <w:rPr>
                <w:noProof/>
                <w:webHidden/>
              </w:rPr>
              <w:fldChar w:fldCharType="begin"/>
            </w:r>
            <w:r w:rsidR="00BB305E">
              <w:rPr>
                <w:noProof/>
                <w:webHidden/>
              </w:rPr>
              <w:instrText xml:space="preserve"> PAGEREF _Toc46137018 \h </w:instrText>
            </w:r>
            <w:r>
              <w:rPr>
                <w:noProof/>
                <w:webHidden/>
              </w:rPr>
            </w:r>
            <w:r>
              <w:rPr>
                <w:noProof/>
                <w:webHidden/>
              </w:rPr>
              <w:fldChar w:fldCharType="separate"/>
            </w:r>
            <w:r w:rsidR="00C13014">
              <w:rPr>
                <w:noProof/>
                <w:webHidden/>
              </w:rPr>
              <w:t>25</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19" w:history="1">
            <w:r w:rsidR="00BB305E" w:rsidRPr="00650402">
              <w:rPr>
                <w:rStyle w:val="Hipercze"/>
                <w:noProof/>
              </w:rPr>
              <w:t>G.2. Przekazywanie</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och</w:t>
            </w:r>
            <w:r w:rsidR="00BB305E" w:rsidRPr="00650402">
              <w:rPr>
                <w:rStyle w:val="Hipercze"/>
                <w:noProof/>
              </w:rPr>
              <w:t>rona danych</w:t>
            </w:r>
            <w:r w:rsidR="00BB305E">
              <w:rPr>
                <w:noProof/>
                <w:webHidden/>
              </w:rPr>
              <w:tab/>
            </w:r>
            <w:r>
              <w:rPr>
                <w:noProof/>
                <w:webHidden/>
              </w:rPr>
              <w:fldChar w:fldCharType="begin"/>
            </w:r>
            <w:r w:rsidR="00BB305E">
              <w:rPr>
                <w:noProof/>
                <w:webHidden/>
              </w:rPr>
              <w:instrText xml:space="preserve"> PAGEREF _Toc46137019 \h </w:instrText>
            </w:r>
            <w:r>
              <w:rPr>
                <w:noProof/>
                <w:webHidden/>
              </w:rPr>
            </w:r>
            <w:r>
              <w:rPr>
                <w:noProof/>
                <w:webHidden/>
              </w:rPr>
              <w:fldChar w:fldCharType="separate"/>
            </w:r>
            <w:r w:rsidR="00C13014">
              <w:rPr>
                <w:noProof/>
                <w:webHidden/>
              </w:rPr>
              <w:t>26</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20" w:history="1">
            <w:r w:rsidR="00BB305E" w:rsidRPr="00650402">
              <w:rPr>
                <w:rStyle w:val="Hipercze"/>
                <w:noProof/>
              </w:rPr>
              <w:t>G.3. Nazwa domeny .eu</w:t>
            </w:r>
            <w:r w:rsidR="00BB305E">
              <w:rPr>
                <w:noProof/>
                <w:webHidden/>
              </w:rPr>
              <w:tab/>
            </w:r>
            <w:r>
              <w:rPr>
                <w:noProof/>
                <w:webHidden/>
              </w:rPr>
              <w:fldChar w:fldCharType="begin"/>
            </w:r>
            <w:r w:rsidR="00BB305E">
              <w:rPr>
                <w:noProof/>
                <w:webHidden/>
              </w:rPr>
              <w:instrText xml:space="preserve"> PAGEREF _Toc46137020 \h </w:instrText>
            </w:r>
            <w:r>
              <w:rPr>
                <w:noProof/>
                <w:webHidden/>
              </w:rPr>
            </w:r>
            <w:r>
              <w:rPr>
                <w:noProof/>
                <w:webHidden/>
              </w:rPr>
              <w:fldChar w:fldCharType="separate"/>
            </w:r>
            <w:r w:rsidR="00C13014">
              <w:rPr>
                <w:noProof/>
                <w:webHidden/>
              </w:rPr>
              <w:t>27</w:t>
            </w:r>
            <w:r>
              <w:rPr>
                <w:noProof/>
                <w:webHidden/>
              </w:rPr>
              <w:fldChar w:fldCharType="end"/>
            </w:r>
          </w:hyperlink>
        </w:p>
        <w:p w:rsidR="00BB305E" w:rsidRDefault="00595895">
          <w:pPr>
            <w:pStyle w:val="Spistreci2"/>
            <w:rPr>
              <w:rFonts w:asciiTheme="minorHAnsi" w:eastAsiaTheme="minorEastAsia" w:hAnsiTheme="minorHAnsi" w:cstheme="minorBidi"/>
              <w:b w:val="0"/>
              <w:lang w:eastAsia="pl-PL"/>
            </w:rPr>
          </w:pPr>
          <w:hyperlink w:anchor="_Toc46137021" w:history="1">
            <w:r w:rsidR="00BB305E" w:rsidRPr="00650402">
              <w:rPr>
                <w:rStyle w:val="Hipercze"/>
              </w:rPr>
              <w:t>H.</w:t>
            </w:r>
            <w:r w:rsidR="00BB305E">
              <w:rPr>
                <w:rFonts w:asciiTheme="minorHAnsi" w:eastAsiaTheme="minorEastAsia" w:hAnsiTheme="minorHAnsi" w:cstheme="minorBidi"/>
                <w:b w:val="0"/>
                <w:lang w:eastAsia="pl-PL"/>
              </w:rPr>
              <w:tab/>
            </w:r>
            <w:r w:rsidR="00BB305E" w:rsidRPr="00650402">
              <w:rPr>
                <w:rStyle w:val="Hipercze"/>
              </w:rPr>
              <w:t>Umowy międzynarodowe Unii Europejskiej</w:t>
            </w:r>
            <w:r w:rsidR="00BB305E">
              <w:rPr>
                <w:webHidden/>
              </w:rPr>
              <w:tab/>
            </w:r>
            <w:r>
              <w:rPr>
                <w:webHidden/>
              </w:rPr>
              <w:fldChar w:fldCharType="begin"/>
            </w:r>
            <w:r w:rsidR="00BB305E">
              <w:rPr>
                <w:webHidden/>
              </w:rPr>
              <w:instrText xml:space="preserve"> PAGEREF _Toc46137021 \h </w:instrText>
            </w:r>
            <w:r>
              <w:rPr>
                <w:webHidden/>
              </w:rPr>
            </w:r>
            <w:r>
              <w:rPr>
                <w:webHidden/>
              </w:rPr>
              <w:fldChar w:fldCharType="separate"/>
            </w:r>
            <w:r w:rsidR="00C13014">
              <w:rPr>
                <w:webHidden/>
              </w:rPr>
              <w:t>27</w:t>
            </w:r>
            <w:r>
              <w:rPr>
                <w:webHidden/>
              </w:rPr>
              <w:fldChar w:fldCharType="end"/>
            </w:r>
          </w:hyperlink>
        </w:p>
        <w:p w:rsidR="00BB305E" w:rsidRDefault="00595895">
          <w:pPr>
            <w:pStyle w:val="Spistreci1"/>
            <w:tabs>
              <w:tab w:val="left" w:pos="440"/>
              <w:tab w:val="right" w:leader="dot" w:pos="9062"/>
            </w:tabs>
            <w:rPr>
              <w:rFonts w:asciiTheme="minorHAnsi" w:eastAsiaTheme="minorEastAsia" w:hAnsiTheme="minorHAnsi"/>
              <w:noProof/>
              <w:lang w:eastAsia="pl-PL"/>
            </w:rPr>
          </w:pPr>
          <w:hyperlink w:anchor="_Toc46137022" w:history="1">
            <w:r w:rsidR="00BB305E" w:rsidRPr="00650402">
              <w:rPr>
                <w:rStyle w:val="Hipercze"/>
                <w:rFonts w:cstheme="minorHAnsi"/>
                <w:noProof/>
                <w:lang w:val="fr-BE"/>
              </w:rPr>
              <w:t>III.</w:t>
            </w:r>
            <w:r w:rsidR="00BB305E">
              <w:rPr>
                <w:rFonts w:asciiTheme="minorHAnsi" w:eastAsiaTheme="minorEastAsia" w:hAnsiTheme="minorHAnsi"/>
                <w:noProof/>
                <w:lang w:eastAsia="pl-PL"/>
              </w:rPr>
              <w:tab/>
            </w:r>
            <w:r w:rsidR="00BB305E" w:rsidRPr="00650402">
              <w:rPr>
                <w:rStyle w:val="Hipercze"/>
                <w:noProof/>
              </w:rPr>
              <w:t>Przygotowanie na każdy scenariusz</w:t>
            </w:r>
            <w:r w:rsidR="00BB305E">
              <w:rPr>
                <w:noProof/>
                <w:webHidden/>
              </w:rPr>
              <w:tab/>
            </w:r>
            <w:r>
              <w:rPr>
                <w:noProof/>
                <w:webHidden/>
              </w:rPr>
              <w:fldChar w:fldCharType="begin"/>
            </w:r>
            <w:r w:rsidR="00BB305E">
              <w:rPr>
                <w:noProof/>
                <w:webHidden/>
              </w:rPr>
              <w:instrText xml:space="preserve"> PAGEREF _Toc46137022 \h </w:instrText>
            </w:r>
            <w:r>
              <w:rPr>
                <w:noProof/>
                <w:webHidden/>
              </w:rPr>
            </w:r>
            <w:r>
              <w:rPr>
                <w:noProof/>
                <w:webHidden/>
              </w:rPr>
              <w:fldChar w:fldCharType="separate"/>
            </w:r>
            <w:r w:rsidR="00C13014">
              <w:rPr>
                <w:noProof/>
                <w:webHidden/>
              </w:rPr>
              <w:t>29</w:t>
            </w:r>
            <w:r>
              <w:rPr>
                <w:noProof/>
                <w:webHidden/>
              </w:rPr>
              <w:fldChar w:fldCharType="end"/>
            </w:r>
          </w:hyperlink>
        </w:p>
        <w:p w:rsidR="00BB305E" w:rsidRDefault="00595895">
          <w:pPr>
            <w:pStyle w:val="Spistreci3"/>
            <w:tabs>
              <w:tab w:val="right" w:leader="dot" w:pos="9062"/>
            </w:tabs>
            <w:rPr>
              <w:rFonts w:asciiTheme="minorHAnsi" w:eastAsiaTheme="minorEastAsia" w:hAnsiTheme="minorHAnsi"/>
              <w:noProof/>
              <w:lang w:eastAsia="pl-PL"/>
            </w:rPr>
          </w:pPr>
          <w:hyperlink w:anchor="_Toc46137023" w:history="1">
            <w:r w:rsidR="00BB305E" w:rsidRPr="00650402">
              <w:rPr>
                <w:rStyle w:val="Hipercze"/>
                <w:noProof/>
              </w:rPr>
              <w:t>RAMKA: Umowa</w:t>
            </w:r>
            <w:r w:rsidR="00BE7466" w:rsidRPr="00650402">
              <w:rPr>
                <w:rStyle w:val="Hipercze"/>
                <w:noProof/>
              </w:rPr>
              <w:t xml:space="preserve"> o</w:t>
            </w:r>
            <w:r w:rsidR="00BE7466">
              <w:rPr>
                <w:rStyle w:val="Hipercze"/>
                <w:rFonts w:ascii="Calibri" w:hAnsi="Calibri" w:cs="Calibri"/>
                <w:noProof/>
              </w:rPr>
              <w:t> </w:t>
            </w:r>
            <w:r w:rsidR="00BE7466" w:rsidRPr="00650402">
              <w:rPr>
                <w:rStyle w:val="Hipercze"/>
                <w:noProof/>
              </w:rPr>
              <w:t>wys</w:t>
            </w:r>
            <w:r w:rsidR="00BB305E" w:rsidRPr="00650402">
              <w:rPr>
                <w:rStyle w:val="Hipercze"/>
                <w:noProof/>
              </w:rPr>
              <w:t>tąpieniu,</w:t>
            </w:r>
            <w:r w:rsidR="00BE7466" w:rsidRPr="00650402">
              <w:rPr>
                <w:rStyle w:val="Hipercze"/>
                <w:noProof/>
              </w:rPr>
              <w:t xml:space="preserve"> w</w:t>
            </w:r>
            <w:r w:rsidR="00BE7466">
              <w:rPr>
                <w:rStyle w:val="Hipercze"/>
                <w:rFonts w:ascii="Calibri" w:hAnsi="Calibri" w:cs="Calibri"/>
                <w:noProof/>
              </w:rPr>
              <w:t> </w:t>
            </w:r>
            <w:r w:rsidR="00BE7466" w:rsidRPr="00650402">
              <w:rPr>
                <w:rStyle w:val="Hipercze"/>
                <w:noProof/>
              </w:rPr>
              <w:t>tym</w:t>
            </w:r>
            <w:r w:rsidR="00BB305E" w:rsidRPr="00650402">
              <w:rPr>
                <w:rStyle w:val="Hipercze"/>
                <w:noProof/>
              </w:rPr>
              <w:t xml:space="preserve"> protokół</w:t>
            </w:r>
            <w:r w:rsidR="00BE7466" w:rsidRPr="00650402">
              <w:rPr>
                <w:rStyle w:val="Hipercze"/>
                <w:noProof/>
              </w:rPr>
              <w:t xml:space="preserve"> w</w:t>
            </w:r>
            <w:r w:rsidR="00BE7466">
              <w:rPr>
                <w:rStyle w:val="Hipercze"/>
                <w:rFonts w:ascii="Calibri" w:hAnsi="Calibri" w:cs="Calibri"/>
                <w:noProof/>
              </w:rPr>
              <w:t> </w:t>
            </w:r>
            <w:r w:rsidR="00BE7466" w:rsidRPr="00650402">
              <w:rPr>
                <w:rStyle w:val="Hipercze"/>
                <w:noProof/>
              </w:rPr>
              <w:t>spr</w:t>
            </w:r>
            <w:r w:rsidR="00BB305E" w:rsidRPr="00650402">
              <w:rPr>
                <w:rStyle w:val="Hipercze"/>
                <w:noProof/>
              </w:rPr>
              <w:t>awie Irlandii</w:t>
            </w:r>
            <w:r w:rsidR="00BE7466" w:rsidRPr="00650402">
              <w:rPr>
                <w:rStyle w:val="Hipercze"/>
                <w:noProof/>
              </w:rPr>
              <w:t xml:space="preserve"> i</w:t>
            </w:r>
            <w:r w:rsidR="00BE7466">
              <w:rPr>
                <w:rStyle w:val="Hipercze"/>
                <w:rFonts w:ascii="Calibri" w:hAnsi="Calibri" w:cs="Calibri"/>
                <w:noProof/>
              </w:rPr>
              <w:t> </w:t>
            </w:r>
            <w:r w:rsidR="00BE7466" w:rsidRPr="00650402">
              <w:rPr>
                <w:rStyle w:val="Hipercze"/>
                <w:noProof/>
              </w:rPr>
              <w:t>Irl</w:t>
            </w:r>
            <w:r w:rsidR="00BB305E" w:rsidRPr="00650402">
              <w:rPr>
                <w:rStyle w:val="Hipercze"/>
                <w:noProof/>
              </w:rPr>
              <w:t>andii Północnej</w:t>
            </w:r>
            <w:r w:rsidR="00BB305E">
              <w:rPr>
                <w:noProof/>
                <w:webHidden/>
              </w:rPr>
              <w:tab/>
            </w:r>
            <w:r>
              <w:rPr>
                <w:noProof/>
                <w:webHidden/>
              </w:rPr>
              <w:fldChar w:fldCharType="begin"/>
            </w:r>
            <w:r w:rsidR="00BB305E">
              <w:rPr>
                <w:noProof/>
                <w:webHidden/>
              </w:rPr>
              <w:instrText xml:space="preserve"> PAGEREF _Toc46137023 \h </w:instrText>
            </w:r>
            <w:r>
              <w:rPr>
                <w:noProof/>
                <w:webHidden/>
              </w:rPr>
            </w:r>
            <w:r>
              <w:rPr>
                <w:noProof/>
                <w:webHidden/>
              </w:rPr>
              <w:fldChar w:fldCharType="separate"/>
            </w:r>
            <w:r w:rsidR="00C13014">
              <w:rPr>
                <w:noProof/>
                <w:webHidden/>
              </w:rPr>
              <w:t>30</w:t>
            </w:r>
            <w:r>
              <w:rPr>
                <w:noProof/>
                <w:webHidden/>
              </w:rPr>
              <w:fldChar w:fldCharType="end"/>
            </w:r>
          </w:hyperlink>
        </w:p>
        <w:p w:rsidR="00BB305E" w:rsidRDefault="00595895">
          <w:pPr>
            <w:pStyle w:val="Spistreci1"/>
            <w:tabs>
              <w:tab w:val="left" w:pos="660"/>
              <w:tab w:val="right" w:leader="dot" w:pos="9062"/>
            </w:tabs>
            <w:rPr>
              <w:rFonts w:asciiTheme="minorHAnsi" w:eastAsiaTheme="minorEastAsia" w:hAnsiTheme="minorHAnsi"/>
              <w:noProof/>
              <w:lang w:eastAsia="pl-PL"/>
            </w:rPr>
          </w:pPr>
          <w:hyperlink w:anchor="_Toc46137024" w:history="1">
            <w:r w:rsidR="00BB305E" w:rsidRPr="00650402">
              <w:rPr>
                <w:rStyle w:val="Hipercze"/>
                <w:noProof/>
                <w:lang w:val="fr-BE"/>
              </w:rPr>
              <w:t>IV.</w:t>
            </w:r>
            <w:r w:rsidR="00BB305E">
              <w:rPr>
                <w:rFonts w:asciiTheme="minorHAnsi" w:eastAsiaTheme="minorEastAsia" w:hAnsiTheme="minorHAnsi"/>
                <w:noProof/>
                <w:lang w:eastAsia="pl-PL"/>
              </w:rPr>
              <w:tab/>
            </w:r>
            <w:r w:rsidR="00BB305E" w:rsidRPr="00650402">
              <w:rPr>
                <w:rStyle w:val="Hipercze"/>
                <w:noProof/>
              </w:rPr>
              <w:t>Podsumowanie: Gotowość to klucz</w:t>
            </w:r>
            <w:r w:rsidR="00BB305E">
              <w:rPr>
                <w:noProof/>
                <w:webHidden/>
              </w:rPr>
              <w:tab/>
            </w:r>
            <w:r>
              <w:rPr>
                <w:noProof/>
                <w:webHidden/>
              </w:rPr>
              <w:fldChar w:fldCharType="begin"/>
            </w:r>
            <w:r w:rsidR="00BB305E">
              <w:rPr>
                <w:noProof/>
                <w:webHidden/>
              </w:rPr>
              <w:instrText xml:space="preserve"> PAGEREF _Toc46137024 \h </w:instrText>
            </w:r>
            <w:r>
              <w:rPr>
                <w:noProof/>
                <w:webHidden/>
              </w:rPr>
            </w:r>
            <w:r>
              <w:rPr>
                <w:noProof/>
                <w:webHidden/>
              </w:rPr>
              <w:fldChar w:fldCharType="separate"/>
            </w:r>
            <w:r w:rsidR="00C13014">
              <w:rPr>
                <w:noProof/>
                <w:webHidden/>
              </w:rPr>
              <w:t>34</w:t>
            </w:r>
            <w:r>
              <w:rPr>
                <w:noProof/>
                <w:webHidden/>
              </w:rPr>
              <w:fldChar w:fldCharType="end"/>
            </w:r>
          </w:hyperlink>
        </w:p>
        <w:p w:rsidR="00BB305E" w:rsidRDefault="00595895">
          <w:r>
            <w:rPr>
              <w:b/>
              <w:bCs/>
              <w:noProof/>
            </w:rPr>
            <w:fldChar w:fldCharType="end"/>
          </w:r>
        </w:p>
      </w:sdtContent>
    </w:sdt>
    <w:p w:rsidR="005B5E63" w:rsidRDefault="00B858F1">
      <w:pPr>
        <w:pStyle w:val="Nagwek1"/>
        <w:pageBreakBefore/>
        <w:rPr>
          <w:rFonts w:cstheme="minorHAnsi"/>
        </w:rPr>
      </w:pPr>
      <w:bookmarkStart w:id="1" w:name="_Toc46136995"/>
      <w:r>
        <w:lastRenderedPageBreak/>
        <w:t>WPROWADZENIE</w:t>
      </w:r>
      <w:bookmarkEnd w:id="1"/>
      <w: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Zjednoczone Królestwo Wielkiej Brytanii</w:t>
      </w:r>
      <w:r w:rsidR="00BE7466">
        <w:rPr>
          <w:rFonts w:asciiTheme="minorHAnsi" w:hAnsiTheme="minorHAnsi"/>
          <w:sz w:val="24"/>
          <w:szCs w:val="24"/>
        </w:rPr>
        <w:t xml:space="preserve"> i Irl</w:t>
      </w:r>
      <w:r>
        <w:rPr>
          <w:rFonts w:asciiTheme="minorHAnsi" w:hAnsiTheme="minorHAnsi"/>
          <w:sz w:val="24"/>
          <w:szCs w:val="24"/>
        </w:rPr>
        <w:t>andii Północnej („Zjednoczone Królestwo”) wystąpiło</w:t>
      </w:r>
      <w:r w:rsidR="00BE7466">
        <w:rPr>
          <w:rFonts w:asciiTheme="minorHAnsi" w:hAnsiTheme="minorHAnsi"/>
          <w:sz w:val="24"/>
          <w:szCs w:val="24"/>
        </w:rPr>
        <w:t xml:space="preserve"> z Uni</w:t>
      </w:r>
      <w:r>
        <w:rPr>
          <w:rFonts w:asciiTheme="minorHAnsi" w:hAnsiTheme="minorHAnsi"/>
          <w:sz w:val="24"/>
          <w:szCs w:val="24"/>
        </w:rPr>
        <w:t>i Europejskiej („UE”)</w:t>
      </w:r>
      <w:r w:rsidR="00BE7466">
        <w:rPr>
          <w:rFonts w:asciiTheme="minorHAnsi" w:hAnsiTheme="minorHAnsi"/>
          <w:sz w:val="24"/>
          <w:szCs w:val="24"/>
        </w:rPr>
        <w:t xml:space="preserve"> i Eur</w:t>
      </w:r>
      <w:r>
        <w:rPr>
          <w:rFonts w:asciiTheme="minorHAnsi" w:hAnsiTheme="minorHAnsi"/>
          <w:sz w:val="24"/>
          <w:szCs w:val="24"/>
        </w:rPr>
        <w:t>opejskiej Wspólnoty Energii Atomowej („Euratom”) – zwanych dalej wspólnie „Unią” –</w:t>
      </w:r>
      <w:r w:rsidR="00BE7466">
        <w:rPr>
          <w:rFonts w:asciiTheme="minorHAnsi" w:hAnsiTheme="minorHAnsi"/>
          <w:sz w:val="24"/>
          <w:szCs w:val="24"/>
        </w:rPr>
        <w:t xml:space="preserve"> w dni</w:t>
      </w:r>
      <w:r>
        <w:rPr>
          <w:rFonts w:asciiTheme="minorHAnsi" w:hAnsiTheme="minorHAnsi"/>
          <w:sz w:val="24"/>
          <w:szCs w:val="24"/>
        </w:rPr>
        <w:t>u 1 lutego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Tego dnia weszła</w:t>
      </w:r>
      <w:r w:rsidR="00BE7466">
        <w:rPr>
          <w:rFonts w:asciiTheme="minorHAnsi" w:hAnsiTheme="minorHAnsi"/>
          <w:sz w:val="24"/>
          <w:szCs w:val="24"/>
        </w:rPr>
        <w:t xml:space="preserve"> w życ</w:t>
      </w:r>
      <w:r>
        <w:rPr>
          <w:rFonts w:asciiTheme="minorHAnsi" w:hAnsiTheme="minorHAnsi"/>
          <w:sz w:val="24"/>
          <w:szCs w:val="24"/>
        </w:rPr>
        <w:t>ie zawarta między Unią</w:t>
      </w:r>
      <w:r w:rsidR="00BE7466">
        <w:rPr>
          <w:rFonts w:asciiTheme="minorHAnsi" w:hAnsiTheme="minorHAnsi"/>
          <w:sz w:val="24"/>
          <w:szCs w:val="24"/>
        </w:rPr>
        <w:t xml:space="preserve"> a Zje</w:t>
      </w:r>
      <w:r>
        <w:rPr>
          <w:rFonts w:asciiTheme="minorHAnsi" w:hAnsiTheme="minorHAnsi"/>
          <w:sz w:val="24"/>
          <w:szCs w:val="24"/>
        </w:rPr>
        <w:t>dnoczonym Królestwem umowa</w:t>
      </w:r>
      <w:r w:rsidR="00BE7466">
        <w:rPr>
          <w:rFonts w:asciiTheme="minorHAnsi" w:hAnsiTheme="minorHAnsi"/>
          <w:sz w:val="24"/>
          <w:szCs w:val="24"/>
        </w:rPr>
        <w:t xml:space="preserve"> o wys</w:t>
      </w:r>
      <w:r>
        <w:rPr>
          <w:rFonts w:asciiTheme="minorHAnsi" w:hAnsiTheme="minorHAnsi"/>
          <w:sz w:val="24"/>
          <w:szCs w:val="24"/>
        </w:rPr>
        <w:t>tąpieniu</w:t>
      </w:r>
      <w:r>
        <w:rPr>
          <w:rStyle w:val="Odwoanieprzypisudolnego"/>
          <w:rFonts w:asciiTheme="minorHAnsi" w:hAnsiTheme="minorHAnsi" w:cstheme="minorHAnsi"/>
          <w:sz w:val="24"/>
          <w:szCs w:val="24"/>
        </w:rPr>
        <w:footnoteReference w:id="1"/>
      </w:r>
      <w:r>
        <w:rPr>
          <w:rFonts w:asciiTheme="minorHAnsi" w:hAnsiTheme="minorHAnsi"/>
          <w:sz w:val="24"/>
          <w:szCs w:val="24"/>
        </w:rPr>
        <w:t>, zabezpieczająca prawidłowe wystąpienie Zjednoczonego Królestwa</w:t>
      </w:r>
      <w:r w:rsidR="00BE7466">
        <w:rPr>
          <w:rFonts w:asciiTheme="minorHAnsi" w:hAnsiTheme="minorHAnsi"/>
          <w:sz w:val="24"/>
          <w:szCs w:val="24"/>
        </w:rPr>
        <w:t xml:space="preserve"> i zap</w:t>
      </w:r>
      <w:r>
        <w:rPr>
          <w:rFonts w:asciiTheme="minorHAnsi" w:hAnsiTheme="minorHAnsi"/>
          <w:sz w:val="24"/>
          <w:szCs w:val="24"/>
        </w:rPr>
        <w:t>ewniająca pewność prawa</w:t>
      </w:r>
      <w:r w:rsidR="00BE7466">
        <w:rPr>
          <w:rFonts w:asciiTheme="minorHAnsi" w:hAnsiTheme="minorHAnsi"/>
          <w:sz w:val="24"/>
          <w:szCs w:val="24"/>
        </w:rPr>
        <w:t xml:space="preserve"> w waż</w:t>
      </w:r>
      <w:r>
        <w:rPr>
          <w:rFonts w:asciiTheme="minorHAnsi" w:hAnsiTheme="minorHAnsi"/>
          <w:sz w:val="24"/>
          <w:szCs w:val="24"/>
        </w:rPr>
        <w:t>nych obszarach,</w:t>
      </w:r>
      <w:r w:rsidR="00BE7466">
        <w:rPr>
          <w:rFonts w:asciiTheme="minorHAnsi" w:hAnsiTheme="minorHAnsi"/>
          <w:sz w:val="24"/>
          <w:szCs w:val="24"/>
        </w:rPr>
        <w:t xml:space="preserve"> w tym w obs</w:t>
      </w:r>
      <w:r>
        <w:rPr>
          <w:rFonts w:asciiTheme="minorHAnsi" w:hAnsiTheme="minorHAnsi"/>
          <w:sz w:val="24"/>
          <w:szCs w:val="24"/>
        </w:rPr>
        <w:t>zarach praw obywateli, porozumienia finansowego</w:t>
      </w:r>
      <w:r w:rsidR="00BE7466">
        <w:rPr>
          <w:rFonts w:asciiTheme="minorHAnsi" w:hAnsiTheme="minorHAnsi"/>
          <w:sz w:val="24"/>
          <w:szCs w:val="24"/>
        </w:rPr>
        <w:t xml:space="preserve"> i uni</w:t>
      </w:r>
      <w:r>
        <w:rPr>
          <w:rFonts w:asciiTheme="minorHAnsi" w:hAnsiTheme="minorHAnsi"/>
          <w:sz w:val="24"/>
          <w:szCs w:val="24"/>
        </w:rPr>
        <w:t>knięcia twardej granicy na wyspie Irlandii (zob. ramka</w:t>
      </w:r>
      <w:r w:rsidR="00BE7466">
        <w:rPr>
          <w:rFonts w:asciiTheme="minorHAnsi" w:hAnsiTheme="minorHAnsi"/>
          <w:sz w:val="24"/>
          <w:szCs w:val="24"/>
        </w:rPr>
        <w:t xml:space="preserve"> w czę</w:t>
      </w:r>
      <w:r>
        <w:rPr>
          <w:rFonts w:asciiTheme="minorHAnsi" w:hAnsiTheme="minorHAnsi"/>
          <w:sz w:val="24"/>
          <w:szCs w:val="24"/>
        </w:rPr>
        <w:t>ści III).</w:t>
      </w:r>
    </w:p>
    <w:p w:rsidR="005B5E63" w:rsidRDefault="00B858F1">
      <w:pPr>
        <w:jc w:val="both"/>
        <w:rPr>
          <w:rFonts w:asciiTheme="minorHAnsi" w:hAnsiTheme="minorHAnsi" w:cstheme="minorHAnsi"/>
          <w:sz w:val="24"/>
          <w:szCs w:val="24"/>
        </w:rPr>
      </w:pPr>
      <w:r>
        <w:rPr>
          <w:rFonts w:asciiTheme="minorHAnsi" w:hAnsiTheme="minorHAnsi"/>
          <w:sz w:val="24"/>
          <w:szCs w:val="24"/>
        </w:rPr>
        <w:t>Jako państwo trzecie Zjednoczone Królestwo nie uczestniczy już</w:t>
      </w:r>
      <w:r w:rsidR="00BE7466">
        <w:rPr>
          <w:rFonts w:asciiTheme="minorHAnsi" w:hAnsiTheme="minorHAnsi"/>
          <w:sz w:val="24"/>
          <w:szCs w:val="24"/>
        </w:rPr>
        <w:t xml:space="preserve"> w pro</w:t>
      </w:r>
      <w:r>
        <w:rPr>
          <w:rFonts w:asciiTheme="minorHAnsi" w:hAnsiTheme="minorHAnsi"/>
          <w:sz w:val="24"/>
          <w:szCs w:val="24"/>
        </w:rPr>
        <w:t>cesie decyzyjnym Unii. Nie jest reprezentowane</w:t>
      </w:r>
      <w:r w:rsidR="00BE7466">
        <w:rPr>
          <w:rFonts w:asciiTheme="minorHAnsi" w:hAnsiTheme="minorHAnsi"/>
          <w:sz w:val="24"/>
          <w:szCs w:val="24"/>
        </w:rPr>
        <w:t xml:space="preserve"> w ins</w:t>
      </w:r>
      <w:r>
        <w:rPr>
          <w:rFonts w:asciiTheme="minorHAnsi" w:hAnsiTheme="minorHAnsi"/>
          <w:sz w:val="24"/>
          <w:szCs w:val="24"/>
        </w:rPr>
        <w:t>tytucjach, jednostkach organizacyjnych ani</w:t>
      </w:r>
      <w:r w:rsidR="00BE7466">
        <w:rPr>
          <w:rFonts w:asciiTheme="minorHAnsi" w:hAnsiTheme="minorHAnsi"/>
          <w:sz w:val="24"/>
          <w:szCs w:val="24"/>
        </w:rPr>
        <w:t xml:space="preserve"> w inn</w:t>
      </w:r>
      <w:r>
        <w:rPr>
          <w:rFonts w:asciiTheme="minorHAnsi" w:hAnsiTheme="minorHAnsi"/>
          <w:sz w:val="24"/>
          <w:szCs w:val="24"/>
        </w:rPr>
        <w:t>ych organach Unii.</w:t>
      </w:r>
    </w:p>
    <w:p w:rsidR="005B5E63" w:rsidRPr="00C43387" w:rsidRDefault="00B858F1">
      <w:pPr>
        <w:jc w:val="both"/>
        <w:rPr>
          <w:rFonts w:asciiTheme="minorHAnsi" w:hAnsiTheme="minorHAnsi" w:cstheme="minorHAnsi"/>
          <w:sz w:val="24"/>
          <w:szCs w:val="24"/>
        </w:rPr>
      </w:pPr>
      <w:r>
        <w:rPr>
          <w:rFonts w:asciiTheme="minorHAnsi" w:hAnsiTheme="minorHAnsi"/>
          <w:sz w:val="24"/>
          <w:szCs w:val="24"/>
        </w:rPr>
        <w:t>Zgodnie</w:t>
      </w:r>
      <w:r w:rsidR="00BE7466">
        <w:rPr>
          <w:rFonts w:asciiTheme="minorHAnsi" w:hAnsiTheme="minorHAnsi"/>
          <w:sz w:val="24"/>
          <w:szCs w:val="24"/>
        </w:rPr>
        <w:t xml:space="preserve"> z umo</w:t>
      </w:r>
      <w:r>
        <w:rPr>
          <w:rFonts w:asciiTheme="minorHAnsi" w:hAnsiTheme="minorHAnsi"/>
          <w:sz w:val="24"/>
          <w:szCs w:val="24"/>
        </w:rPr>
        <w:t>wą</w:t>
      </w:r>
      <w:r w:rsidR="00BE7466">
        <w:rPr>
          <w:rFonts w:asciiTheme="minorHAnsi" w:hAnsiTheme="minorHAnsi"/>
          <w:sz w:val="24"/>
          <w:szCs w:val="24"/>
        </w:rPr>
        <w:t xml:space="preserve"> o wys</w:t>
      </w:r>
      <w:r>
        <w:rPr>
          <w:rFonts w:asciiTheme="minorHAnsi" w:hAnsiTheme="minorHAnsi"/>
          <w:sz w:val="24"/>
          <w:szCs w:val="24"/>
        </w:rPr>
        <w:t>tąpieniu prawo Unii ma jednak</w:t>
      </w:r>
      <w:r w:rsidR="00BE7466">
        <w:rPr>
          <w:rFonts w:asciiTheme="minorHAnsi" w:hAnsiTheme="minorHAnsi"/>
          <w:sz w:val="24"/>
          <w:szCs w:val="24"/>
        </w:rPr>
        <w:t xml:space="preserve"> w dal</w:t>
      </w:r>
      <w:r>
        <w:rPr>
          <w:rFonts w:asciiTheme="minorHAnsi" w:hAnsiTheme="minorHAnsi"/>
          <w:sz w:val="24"/>
          <w:szCs w:val="24"/>
        </w:rPr>
        <w:t>szym ciągu zastosowanie do Zjednoczonego Królestwa oraz</w:t>
      </w:r>
      <w:r w:rsidR="00BE7466">
        <w:rPr>
          <w:rFonts w:asciiTheme="minorHAnsi" w:hAnsiTheme="minorHAnsi"/>
          <w:sz w:val="24"/>
          <w:szCs w:val="24"/>
        </w:rPr>
        <w:t xml:space="preserve"> w Zje</w:t>
      </w:r>
      <w:r>
        <w:rPr>
          <w:rFonts w:asciiTheme="minorHAnsi" w:hAnsiTheme="minorHAnsi"/>
          <w:sz w:val="24"/>
          <w:szCs w:val="24"/>
        </w:rPr>
        <w:t>dnoczonym Królestwie</w:t>
      </w:r>
      <w:r>
        <w:rPr>
          <w:rFonts w:asciiTheme="minorHAnsi" w:hAnsiTheme="minorHAnsi" w:cstheme="minorHAnsi"/>
          <w:sz w:val="24"/>
          <w:szCs w:val="24"/>
          <w:vertAlign w:val="superscript"/>
        </w:rPr>
        <w:footnoteReference w:id="2"/>
      </w:r>
      <w:r>
        <w:rPr>
          <w:rFonts w:asciiTheme="minorHAnsi" w:hAnsiTheme="minorHAnsi"/>
          <w:sz w:val="24"/>
          <w:szCs w:val="24"/>
        </w:rPr>
        <w:t xml:space="preserve"> w „okresie przejściowym” trwającym do dnia 31 grudnia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sidRPr="00C43387">
        <w:rPr>
          <w:rStyle w:val="Odwoanieprzypisudolnego"/>
          <w:rFonts w:asciiTheme="minorHAnsi" w:hAnsiTheme="minorHAnsi" w:cstheme="minorHAnsi"/>
          <w:sz w:val="24"/>
          <w:szCs w:val="24"/>
        </w:rPr>
        <w:footnoteReference w:id="3"/>
      </w:r>
      <w:r w:rsidR="00C43387" w:rsidRPr="00C43387">
        <w:rPr>
          <w:rFonts w:asciiTheme="minorHAnsi" w:hAnsiTheme="minorHAnsi"/>
          <w:sz w:val="24"/>
          <w:szCs w:val="24"/>
        </w:rP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w:t>
      </w:r>
      <w:r w:rsidR="00BE7466">
        <w:rPr>
          <w:rFonts w:asciiTheme="minorHAnsi" w:hAnsiTheme="minorHAnsi"/>
          <w:sz w:val="24"/>
          <w:szCs w:val="24"/>
        </w:rPr>
        <w:t xml:space="preserve"> w dal</w:t>
      </w:r>
      <w:r>
        <w:rPr>
          <w:rFonts w:asciiTheme="minorHAnsi" w:hAnsiTheme="minorHAnsi"/>
          <w:sz w:val="24"/>
          <w:szCs w:val="24"/>
        </w:rPr>
        <w:t>szym ciągu uczestniczy</w:t>
      </w:r>
      <w:r w:rsidR="00BE7466">
        <w:rPr>
          <w:rFonts w:asciiTheme="minorHAnsi" w:hAnsiTheme="minorHAnsi"/>
          <w:sz w:val="24"/>
          <w:szCs w:val="24"/>
        </w:rPr>
        <w:t xml:space="preserve"> w jed</w:t>
      </w:r>
      <w:r>
        <w:rPr>
          <w:rFonts w:asciiTheme="minorHAnsi" w:hAnsiTheme="minorHAnsi"/>
          <w:sz w:val="24"/>
          <w:szCs w:val="24"/>
        </w:rPr>
        <w:t>nolitym rynku UE oraz</w:t>
      </w:r>
      <w:r w:rsidR="00BE7466">
        <w:rPr>
          <w:rFonts w:asciiTheme="minorHAnsi" w:hAnsiTheme="minorHAnsi"/>
          <w:sz w:val="24"/>
          <w:szCs w:val="24"/>
        </w:rPr>
        <w:t xml:space="preserve"> w uni</w:t>
      </w:r>
      <w:r>
        <w:rPr>
          <w:rFonts w:asciiTheme="minorHAnsi" w:hAnsiTheme="minorHAnsi"/>
          <w:sz w:val="24"/>
          <w:szCs w:val="24"/>
        </w:rPr>
        <w:t>i celnej, korzysta</w:t>
      </w:r>
      <w:r w:rsidR="00BE7466">
        <w:rPr>
          <w:rFonts w:asciiTheme="minorHAnsi" w:hAnsiTheme="minorHAnsi"/>
          <w:sz w:val="24"/>
          <w:szCs w:val="24"/>
        </w:rPr>
        <w:t xml:space="preserve"> z pol</w:t>
      </w:r>
      <w:r>
        <w:rPr>
          <w:rFonts w:asciiTheme="minorHAnsi" w:hAnsiTheme="minorHAnsi"/>
          <w:sz w:val="24"/>
          <w:szCs w:val="24"/>
        </w:rPr>
        <w:t>ityk</w:t>
      </w:r>
      <w:r w:rsidR="00BE7466">
        <w:rPr>
          <w:rFonts w:asciiTheme="minorHAnsi" w:hAnsiTheme="minorHAnsi"/>
          <w:sz w:val="24"/>
          <w:szCs w:val="24"/>
        </w:rPr>
        <w:t xml:space="preserve"> i pro</w:t>
      </w:r>
      <w:r>
        <w:rPr>
          <w:rFonts w:asciiTheme="minorHAnsi" w:hAnsiTheme="minorHAnsi"/>
          <w:sz w:val="24"/>
          <w:szCs w:val="24"/>
        </w:rPr>
        <w:t>gramów Unii oraz musi</w:t>
      </w:r>
      <w:r w:rsidR="00BE7466">
        <w:rPr>
          <w:rFonts w:asciiTheme="minorHAnsi" w:hAnsiTheme="minorHAnsi"/>
          <w:sz w:val="24"/>
          <w:szCs w:val="24"/>
        </w:rPr>
        <w:t xml:space="preserve"> w dal</w:t>
      </w:r>
      <w:r>
        <w:rPr>
          <w:rFonts w:asciiTheme="minorHAnsi" w:hAnsiTheme="minorHAnsi"/>
          <w:sz w:val="24"/>
          <w:szCs w:val="24"/>
        </w:rPr>
        <w:t>szym ciągu wypełniać zobowiązania wynikające</w:t>
      </w:r>
      <w:r w:rsidR="00BE7466">
        <w:rPr>
          <w:rFonts w:asciiTheme="minorHAnsi" w:hAnsiTheme="minorHAnsi"/>
          <w:sz w:val="24"/>
          <w:szCs w:val="24"/>
        </w:rPr>
        <w:t xml:space="preserve"> z umó</w:t>
      </w:r>
      <w:r>
        <w:rPr>
          <w:rFonts w:asciiTheme="minorHAnsi" w:hAnsiTheme="minorHAnsi"/>
          <w:sz w:val="24"/>
          <w:szCs w:val="24"/>
        </w:rPr>
        <w:t>w międzynarodowych, których stroną jest Unia. Okres przejściowy zapewnia zatem okres ciągłości, który Unia wykorzystuje</w:t>
      </w:r>
      <w:r w:rsidR="00BE7466">
        <w:rPr>
          <w:rFonts w:asciiTheme="minorHAnsi" w:hAnsiTheme="minorHAnsi"/>
          <w:sz w:val="24"/>
          <w:szCs w:val="24"/>
        </w:rPr>
        <w:t xml:space="preserve"> w cel</w:t>
      </w:r>
      <w:r>
        <w:rPr>
          <w:rFonts w:asciiTheme="minorHAnsi" w:hAnsiTheme="minorHAnsi"/>
          <w:sz w:val="24"/>
          <w:szCs w:val="24"/>
        </w:rPr>
        <w:t>u:</w:t>
      </w:r>
    </w:p>
    <w:p w:rsidR="005B5E63" w:rsidRDefault="00B858F1">
      <w:pPr>
        <w:pStyle w:val="Akapitzlist"/>
        <w:numPr>
          <w:ilvl w:val="0"/>
          <w:numId w:val="42"/>
        </w:numPr>
        <w:contextualSpacing w:val="0"/>
        <w:jc w:val="both"/>
        <w:rPr>
          <w:rFonts w:asciiTheme="minorHAnsi" w:hAnsiTheme="minorHAnsi" w:cstheme="minorHAnsi"/>
          <w:sz w:val="24"/>
          <w:szCs w:val="24"/>
        </w:rPr>
      </w:pPr>
      <w:r>
        <w:rPr>
          <w:rFonts w:asciiTheme="minorHAnsi" w:hAnsiTheme="minorHAnsi"/>
          <w:sz w:val="24"/>
          <w:szCs w:val="24"/>
        </w:rPr>
        <w:t>zapewnienia, aby 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obowiązywały wszystkie środki</w:t>
      </w:r>
      <w:r w:rsidR="00BE7466">
        <w:rPr>
          <w:rFonts w:asciiTheme="minorHAnsi" w:hAnsiTheme="minorHAnsi"/>
          <w:sz w:val="24"/>
          <w:szCs w:val="24"/>
        </w:rPr>
        <w:t xml:space="preserve"> i uzg</w:t>
      </w:r>
      <w:r>
        <w:rPr>
          <w:rFonts w:asciiTheme="minorHAnsi" w:hAnsiTheme="minorHAnsi"/>
          <w:sz w:val="24"/>
          <w:szCs w:val="24"/>
        </w:rPr>
        <w:t>odnienia niezbędne do wdrożenia umowy</w:t>
      </w:r>
      <w:r w:rsidR="00BE7466">
        <w:rPr>
          <w:rFonts w:asciiTheme="minorHAnsi" w:hAnsiTheme="minorHAnsi"/>
          <w:sz w:val="24"/>
          <w:szCs w:val="24"/>
        </w:rPr>
        <w:t xml:space="preserve"> o wys</w:t>
      </w:r>
      <w:r>
        <w:rPr>
          <w:rFonts w:asciiTheme="minorHAnsi" w:hAnsiTheme="minorHAnsi"/>
          <w:sz w:val="24"/>
          <w:szCs w:val="24"/>
        </w:rPr>
        <w:t>tąpieniu;</w:t>
      </w:r>
    </w:p>
    <w:p w:rsidR="005B5E63" w:rsidRDefault="00B858F1">
      <w:pPr>
        <w:pStyle w:val="Akapitzlist"/>
        <w:numPr>
          <w:ilvl w:val="0"/>
          <w:numId w:val="42"/>
        </w:numPr>
        <w:contextualSpacing w:val="0"/>
        <w:jc w:val="both"/>
        <w:rPr>
          <w:rFonts w:asciiTheme="minorHAnsi" w:hAnsiTheme="minorHAnsi" w:cstheme="minorHAnsi"/>
          <w:sz w:val="24"/>
          <w:szCs w:val="24"/>
        </w:rPr>
      </w:pPr>
      <w:r>
        <w:rPr>
          <w:rFonts w:asciiTheme="minorHAnsi" w:hAnsiTheme="minorHAnsi"/>
          <w:sz w:val="24"/>
          <w:szCs w:val="24"/>
        </w:rPr>
        <w:t>prowadzenia negocjacji</w:t>
      </w:r>
      <w:r w:rsidR="00BE7466">
        <w:rPr>
          <w:rFonts w:asciiTheme="minorHAnsi" w:hAnsiTheme="minorHAnsi"/>
          <w:sz w:val="24"/>
          <w:szCs w:val="24"/>
        </w:rPr>
        <w:t xml:space="preserve"> w spr</w:t>
      </w:r>
      <w:r>
        <w:rPr>
          <w:rFonts w:asciiTheme="minorHAnsi" w:hAnsiTheme="minorHAnsi"/>
          <w:sz w:val="24"/>
          <w:szCs w:val="24"/>
        </w:rPr>
        <w:t>awie umowy dotyczącej nowego partnerstwa ze Zjednoczonym Królestwem oraz</w:t>
      </w:r>
    </w:p>
    <w:p w:rsidR="005B5E63" w:rsidRDefault="00B858F1">
      <w:pPr>
        <w:pStyle w:val="Akapitzlist"/>
        <w:numPr>
          <w:ilvl w:val="0"/>
          <w:numId w:val="42"/>
        </w:numPr>
        <w:contextualSpacing w:val="0"/>
        <w:jc w:val="both"/>
        <w:rPr>
          <w:rFonts w:asciiTheme="minorHAnsi" w:hAnsiTheme="minorHAnsi" w:cstheme="minorHAnsi"/>
          <w:sz w:val="24"/>
          <w:szCs w:val="24"/>
        </w:rPr>
      </w:pPr>
      <w:r>
        <w:rPr>
          <w:rFonts w:asciiTheme="minorHAnsi" w:hAnsiTheme="minorHAnsi"/>
          <w:sz w:val="24"/>
          <w:szCs w:val="24"/>
        </w:rPr>
        <w:t>zapewnienia gotowości na moment zakończenia okresu przejściowego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kiedy Zjednoczone Królestwo nie będzie już uczestniczyć</w:t>
      </w:r>
      <w:r w:rsidR="00BE7466">
        <w:rPr>
          <w:rFonts w:asciiTheme="minorHAnsi" w:hAnsiTheme="minorHAnsi"/>
          <w:sz w:val="24"/>
          <w:szCs w:val="24"/>
        </w:rPr>
        <w:t xml:space="preserve"> w jed</w:t>
      </w:r>
      <w:r>
        <w:rPr>
          <w:rFonts w:asciiTheme="minorHAnsi" w:hAnsiTheme="minorHAnsi"/>
          <w:sz w:val="24"/>
          <w:szCs w:val="24"/>
        </w:rPr>
        <w:t>nolitym rynku UE,</w:t>
      </w:r>
      <w:r w:rsidR="00BE7466">
        <w:rPr>
          <w:rFonts w:asciiTheme="minorHAnsi" w:hAnsiTheme="minorHAnsi"/>
          <w:sz w:val="24"/>
          <w:szCs w:val="24"/>
        </w:rPr>
        <w:t xml:space="preserve"> w uni</w:t>
      </w:r>
      <w:r>
        <w:rPr>
          <w:rFonts w:asciiTheme="minorHAnsi" w:hAnsiTheme="minorHAnsi"/>
          <w:sz w:val="24"/>
          <w:szCs w:val="24"/>
        </w:rPr>
        <w:t>i celnej,</w:t>
      </w:r>
      <w:r w:rsidR="00BE7466">
        <w:rPr>
          <w:rFonts w:asciiTheme="minorHAnsi" w:hAnsiTheme="minorHAnsi"/>
          <w:sz w:val="24"/>
          <w:szCs w:val="24"/>
        </w:rPr>
        <w:t xml:space="preserve"> w pol</w:t>
      </w:r>
      <w:r>
        <w:rPr>
          <w:rFonts w:asciiTheme="minorHAnsi" w:hAnsiTheme="minorHAnsi"/>
          <w:sz w:val="24"/>
          <w:szCs w:val="24"/>
        </w:rPr>
        <w:t>itykach</w:t>
      </w:r>
      <w:r w:rsidR="00BE7466">
        <w:rPr>
          <w:rFonts w:asciiTheme="minorHAnsi" w:hAnsiTheme="minorHAnsi"/>
          <w:sz w:val="24"/>
          <w:szCs w:val="24"/>
        </w:rPr>
        <w:t xml:space="preserve"> i pro</w:t>
      </w:r>
      <w:r>
        <w:rPr>
          <w:rFonts w:asciiTheme="minorHAnsi" w:hAnsiTheme="minorHAnsi"/>
          <w:sz w:val="24"/>
          <w:szCs w:val="24"/>
        </w:rPr>
        <w:t>gramach Unii</w:t>
      </w:r>
      <w:r>
        <w:rPr>
          <w:rStyle w:val="Odwoanieprzypisudolnego"/>
          <w:rFonts w:asciiTheme="minorHAnsi" w:hAnsiTheme="minorHAnsi" w:cstheme="minorHAnsi"/>
          <w:sz w:val="24"/>
          <w:szCs w:val="24"/>
        </w:rPr>
        <w:footnoteReference w:id="4"/>
      </w:r>
      <w:r>
        <w:rPr>
          <w:rFonts w:asciiTheme="minorHAnsi" w:hAnsiTheme="minorHAnsi"/>
          <w:sz w:val="24"/>
          <w:szCs w:val="24"/>
        </w:rPr>
        <w:t xml:space="preserve"> ani nie będzie korzystało</w:t>
      </w:r>
      <w:r w:rsidR="00BE7466">
        <w:rPr>
          <w:rFonts w:asciiTheme="minorHAnsi" w:hAnsiTheme="minorHAnsi"/>
          <w:sz w:val="24"/>
          <w:szCs w:val="24"/>
        </w:rPr>
        <w:t xml:space="preserve"> z umó</w:t>
      </w:r>
      <w:r>
        <w:rPr>
          <w:rFonts w:asciiTheme="minorHAnsi" w:hAnsiTheme="minorHAnsi"/>
          <w:sz w:val="24"/>
          <w:szCs w:val="24"/>
        </w:rPr>
        <w:t>w międzynarodowych Unii. Wybór taki potwierdził rząd Zjednoczonego Królestwa</w:t>
      </w:r>
      <w:r w:rsidR="00BE7466">
        <w:rPr>
          <w:rFonts w:asciiTheme="minorHAnsi" w:hAnsiTheme="minorHAnsi"/>
          <w:sz w:val="24"/>
          <w:szCs w:val="24"/>
        </w:rPr>
        <w:t xml:space="preserve"> w dok</w:t>
      </w:r>
      <w:r>
        <w:rPr>
          <w:rFonts w:asciiTheme="minorHAnsi" w:hAnsiTheme="minorHAnsi"/>
          <w:sz w:val="24"/>
          <w:szCs w:val="24"/>
        </w:rPr>
        <w:t>umencie określającym podejścia do negocjacji</w:t>
      </w:r>
      <w:r w:rsidR="00BE7466">
        <w:rPr>
          <w:rFonts w:asciiTheme="minorHAnsi" w:hAnsiTheme="minorHAnsi"/>
          <w:sz w:val="24"/>
          <w:szCs w:val="24"/>
        </w:rPr>
        <w:t xml:space="preserve"> w spr</w:t>
      </w:r>
      <w:r>
        <w:rPr>
          <w:rFonts w:asciiTheme="minorHAnsi" w:hAnsiTheme="minorHAnsi"/>
          <w:sz w:val="24"/>
          <w:szCs w:val="24"/>
        </w:rPr>
        <w:t>awie przyszłych stosunków</w:t>
      </w:r>
      <w:r w:rsidR="00BE7466">
        <w:rPr>
          <w:rFonts w:asciiTheme="minorHAnsi" w:hAnsiTheme="minorHAnsi"/>
          <w:sz w:val="24"/>
          <w:szCs w:val="24"/>
        </w:rPr>
        <w:t xml:space="preserve"> </w:t>
      </w:r>
      <w:r w:rsidR="00BE7466">
        <w:rPr>
          <w:rFonts w:asciiTheme="minorHAnsi" w:hAnsiTheme="minorHAnsi"/>
          <w:sz w:val="24"/>
          <w:szCs w:val="24"/>
        </w:rPr>
        <w:lastRenderedPageBreak/>
        <w:t>z Uni</w:t>
      </w:r>
      <w:r>
        <w:rPr>
          <w:rFonts w:asciiTheme="minorHAnsi" w:hAnsiTheme="minorHAnsi"/>
          <w:sz w:val="24"/>
          <w:szCs w:val="24"/>
        </w:rPr>
        <w:t>ą Europejską, który to dokument opublikowano dnia 27 lutego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w:t>
      </w:r>
      <w:r w:rsidR="00BE7466">
        <w:rPr>
          <w:rFonts w:asciiTheme="minorHAnsi" w:hAnsiTheme="minorHAnsi"/>
          <w:sz w:val="24"/>
          <w:szCs w:val="24"/>
        </w:rPr>
        <w:t xml:space="preserve"> a tak</w:t>
      </w:r>
      <w:r>
        <w:rPr>
          <w:rFonts w:asciiTheme="minorHAnsi" w:hAnsiTheme="minorHAnsi"/>
          <w:sz w:val="24"/>
          <w:szCs w:val="24"/>
        </w:rPr>
        <w:t>że</w:t>
      </w:r>
      <w:r w:rsidR="00BE7466">
        <w:rPr>
          <w:rFonts w:asciiTheme="minorHAnsi" w:hAnsiTheme="minorHAnsi"/>
          <w:sz w:val="24"/>
          <w:szCs w:val="24"/>
        </w:rPr>
        <w:t xml:space="preserve"> w póź</w:t>
      </w:r>
      <w:r>
        <w:rPr>
          <w:rFonts w:asciiTheme="minorHAnsi" w:hAnsiTheme="minorHAnsi"/>
          <w:sz w:val="24"/>
          <w:szCs w:val="24"/>
        </w:rPr>
        <w:t>niejszych oświadczeniach rządu Zjednoczonego Królestwa</w:t>
      </w:r>
      <w:r>
        <w:rPr>
          <w:rStyle w:val="Odwoanieprzypisudolnego"/>
          <w:rFonts w:asciiTheme="minorHAnsi" w:hAnsiTheme="minorHAnsi" w:cstheme="minorHAnsi"/>
          <w:sz w:val="24"/>
          <w:szCs w:val="24"/>
        </w:rPr>
        <w:footnoteReference w:id="5"/>
      </w:r>
      <w:r>
        <w:rPr>
          <w:rFonts w:asciiTheme="minorHAnsi" w:hAnsiTheme="minorHAnsi"/>
          <w:sz w:val="24"/>
          <w:szCs w:val="24"/>
        </w:rPr>
        <w:t xml:space="preserve">. </w:t>
      </w:r>
    </w:p>
    <w:p w:rsidR="005B5E63" w:rsidRDefault="005B5E63">
      <w:pPr>
        <w:jc w:val="both"/>
        <w:rPr>
          <w:rFonts w:asciiTheme="minorHAnsi" w:hAnsiTheme="minorHAnsi" w:cstheme="minorHAnsi"/>
          <w:sz w:val="24"/>
          <w:szCs w:val="24"/>
        </w:rPr>
      </w:pPr>
    </w:p>
    <w:p w:rsidR="005B5E63" w:rsidRDefault="00B858F1">
      <w:pPr>
        <w:jc w:val="both"/>
        <w:rPr>
          <w:rFonts w:asciiTheme="minorHAnsi" w:hAnsiTheme="minorHAnsi" w:cstheme="minorHAnsi"/>
          <w:sz w:val="24"/>
          <w:szCs w:val="24"/>
        </w:rPr>
      </w:pPr>
      <w:r>
        <w:rPr>
          <w:rFonts w:asciiTheme="minorHAnsi" w:hAnsiTheme="minorHAnsi"/>
          <w:sz w:val="24"/>
          <w:szCs w:val="24"/>
        </w:rPr>
        <w:t>Jeżeli chodzi</w:t>
      </w:r>
      <w:r w:rsidR="00BE7466">
        <w:rPr>
          <w:rFonts w:asciiTheme="minorHAnsi" w:hAnsiTheme="minorHAnsi"/>
          <w:sz w:val="24"/>
          <w:szCs w:val="24"/>
        </w:rPr>
        <w:t xml:space="preserve"> o neg</w:t>
      </w:r>
      <w:r>
        <w:rPr>
          <w:rFonts w:asciiTheme="minorHAnsi" w:hAnsiTheme="minorHAnsi"/>
          <w:sz w:val="24"/>
          <w:szCs w:val="24"/>
        </w:rPr>
        <w:t>ocjacje</w:t>
      </w:r>
      <w:r w:rsidR="00BE7466">
        <w:rPr>
          <w:rFonts w:asciiTheme="minorHAnsi" w:hAnsiTheme="minorHAnsi"/>
          <w:sz w:val="24"/>
          <w:szCs w:val="24"/>
        </w:rPr>
        <w:t xml:space="preserve"> w spr</w:t>
      </w:r>
      <w:r>
        <w:rPr>
          <w:rFonts w:asciiTheme="minorHAnsi" w:hAnsiTheme="minorHAnsi"/>
          <w:sz w:val="24"/>
          <w:szCs w:val="24"/>
        </w:rPr>
        <w:t>awie nowego partnerstwa ze Zjednoczonym Królestwem,</w:t>
      </w:r>
      <w:r w:rsidR="00BE7466">
        <w:rPr>
          <w:rFonts w:asciiTheme="minorHAnsi" w:hAnsiTheme="minorHAnsi"/>
          <w:sz w:val="24"/>
          <w:szCs w:val="24"/>
        </w:rPr>
        <w:t xml:space="preserve"> w zwi</w:t>
      </w:r>
      <w:r>
        <w:rPr>
          <w:rFonts w:asciiTheme="minorHAnsi" w:hAnsiTheme="minorHAnsi"/>
          <w:sz w:val="24"/>
          <w:szCs w:val="24"/>
        </w:rPr>
        <w:t>ązku</w:t>
      </w:r>
      <w:r w:rsidR="00BE7466">
        <w:rPr>
          <w:rFonts w:asciiTheme="minorHAnsi" w:hAnsiTheme="minorHAnsi"/>
          <w:sz w:val="24"/>
          <w:szCs w:val="24"/>
        </w:rPr>
        <w:t xml:space="preserve"> z nad</w:t>
      </w:r>
      <w:r>
        <w:rPr>
          <w:rFonts w:asciiTheme="minorHAnsi" w:hAnsiTheme="minorHAnsi"/>
          <w:sz w:val="24"/>
          <w:szCs w:val="24"/>
        </w:rPr>
        <w:t>zwyczajną sytuacją spowodowaną pandemią koronawirusa poza pierwszą rundą negocjacji kolejne trzy rundy musiały zostać przeprowadzone</w:t>
      </w:r>
      <w:r w:rsidR="00BE7466">
        <w:rPr>
          <w:rFonts w:asciiTheme="minorHAnsi" w:hAnsiTheme="minorHAnsi"/>
          <w:sz w:val="24"/>
          <w:szCs w:val="24"/>
        </w:rPr>
        <w:t xml:space="preserve"> w for</w:t>
      </w:r>
      <w:r>
        <w:rPr>
          <w:rFonts w:asciiTheme="minorHAnsi" w:hAnsiTheme="minorHAnsi"/>
          <w:sz w:val="24"/>
          <w:szCs w:val="24"/>
        </w:rPr>
        <w:t>mie wideokonferencji</w:t>
      </w:r>
      <w:r w:rsidR="00BE7466">
        <w:rPr>
          <w:rFonts w:asciiTheme="minorHAnsi" w:hAnsiTheme="minorHAnsi"/>
          <w:sz w:val="24"/>
          <w:szCs w:val="24"/>
        </w:rPr>
        <w:t>. Z teg</w:t>
      </w:r>
      <w:r>
        <w:rPr>
          <w:rFonts w:asciiTheme="minorHAnsi" w:hAnsiTheme="minorHAnsi"/>
          <w:sz w:val="24"/>
          <w:szCs w:val="24"/>
        </w:rPr>
        <w:t>o samego powodu między pierwszą</w:t>
      </w:r>
      <w:r w:rsidR="00BE7466">
        <w:rPr>
          <w:rFonts w:asciiTheme="minorHAnsi" w:hAnsiTheme="minorHAnsi"/>
          <w:sz w:val="24"/>
          <w:szCs w:val="24"/>
        </w:rPr>
        <w:t xml:space="preserve"> a dru</w:t>
      </w:r>
      <w:r>
        <w:rPr>
          <w:rFonts w:asciiTheme="minorHAnsi" w:hAnsiTheme="minorHAnsi"/>
          <w:sz w:val="24"/>
          <w:szCs w:val="24"/>
        </w:rPr>
        <w:t xml:space="preserve">gą rundą upłynęło więcej czasu niż pierwotnie planowano. </w:t>
      </w:r>
    </w:p>
    <w:p w:rsidR="005B5E63" w:rsidRDefault="00B858F1">
      <w:pPr>
        <w:jc w:val="both"/>
        <w:rPr>
          <w:rFonts w:asciiTheme="minorHAnsi" w:hAnsiTheme="minorHAnsi" w:cstheme="minorHAnsi"/>
          <w:sz w:val="24"/>
          <w:szCs w:val="24"/>
        </w:rPr>
      </w:pPr>
      <w:r>
        <w:rPr>
          <w:rFonts w:asciiTheme="minorHAnsi" w:hAnsiTheme="minorHAnsi"/>
          <w:sz w:val="24"/>
          <w:szCs w:val="24"/>
        </w:rPr>
        <w:t>Dotychczas osiągnięto niewielkie postępy</w:t>
      </w:r>
      <w:r w:rsidR="00BE7466">
        <w:rPr>
          <w:rFonts w:asciiTheme="minorHAnsi" w:hAnsiTheme="minorHAnsi"/>
          <w:sz w:val="24"/>
          <w:szCs w:val="24"/>
        </w:rPr>
        <w:t xml:space="preserve"> w neg</w:t>
      </w:r>
      <w:r>
        <w:rPr>
          <w:rFonts w:asciiTheme="minorHAnsi" w:hAnsiTheme="minorHAnsi"/>
          <w:sz w:val="24"/>
          <w:szCs w:val="24"/>
        </w:rPr>
        <w:t>ocjacjach</w:t>
      </w:r>
      <w:r w:rsidR="00BE7466">
        <w:rPr>
          <w:rFonts w:asciiTheme="minorHAnsi" w:hAnsiTheme="minorHAnsi"/>
          <w:sz w:val="24"/>
          <w:szCs w:val="24"/>
        </w:rPr>
        <w:t>. W chw</w:t>
      </w:r>
      <w:r>
        <w:rPr>
          <w:rFonts w:asciiTheme="minorHAnsi" w:hAnsiTheme="minorHAnsi"/>
          <w:sz w:val="24"/>
          <w:szCs w:val="24"/>
        </w:rPr>
        <w:t>ili obecnej,</w:t>
      </w:r>
      <w:r w:rsidR="00BE7466">
        <w:rPr>
          <w:rFonts w:asciiTheme="minorHAnsi" w:hAnsiTheme="minorHAnsi"/>
          <w:sz w:val="24"/>
          <w:szCs w:val="24"/>
        </w:rPr>
        <w:t xml:space="preserve"> w lec</w:t>
      </w:r>
      <w:r>
        <w:rPr>
          <w:rFonts w:asciiTheme="minorHAnsi" w:hAnsiTheme="minorHAnsi"/>
          <w:sz w:val="24"/>
          <w:szCs w:val="24"/>
        </w:rPr>
        <w:t>ie, dyskusje nabrały tempa: rundy negocjacji lub sesje specjalistyczne są zaplanowane na każdy tydzień począwszy od dnia 29 czerwca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p>
    <w:p w:rsidR="005B5E63" w:rsidRDefault="00B858F1">
      <w:pPr>
        <w:jc w:val="both"/>
        <w:rPr>
          <w:rFonts w:asciiTheme="minorHAnsi" w:hAnsiTheme="minorHAnsi" w:cstheme="minorHAnsi"/>
          <w:sz w:val="24"/>
          <w:szCs w:val="24"/>
        </w:rPr>
      </w:pPr>
      <w:r>
        <w:rPr>
          <w:rFonts w:asciiTheme="minorHAnsi" w:hAnsiTheme="minorHAnsi"/>
          <w:sz w:val="24"/>
          <w:szCs w:val="24"/>
        </w:rPr>
        <w:t>Komisja będzie kontynuować negocjacje na podstawie mandatu przyznanego jej przez Radę</w:t>
      </w:r>
      <w:r w:rsidR="00BE7466">
        <w:rPr>
          <w:rFonts w:asciiTheme="minorHAnsi" w:hAnsiTheme="minorHAnsi"/>
          <w:sz w:val="24"/>
          <w:szCs w:val="24"/>
        </w:rPr>
        <w:t xml:space="preserve"> w lut</w:t>
      </w:r>
      <w:r>
        <w:rPr>
          <w:rFonts w:asciiTheme="minorHAnsi" w:hAnsiTheme="minorHAnsi"/>
          <w:sz w:val="24"/>
          <w:szCs w:val="24"/>
        </w:rPr>
        <w:t>ym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oraz przy wsparciu ze strony Parlamentu Europejskiego. Zgodnie</w:t>
      </w:r>
      <w:r w:rsidR="00BE7466">
        <w:rPr>
          <w:rFonts w:asciiTheme="minorHAnsi" w:hAnsiTheme="minorHAnsi"/>
          <w:sz w:val="24"/>
          <w:szCs w:val="24"/>
        </w:rPr>
        <w:t xml:space="preserve"> z tym</w:t>
      </w:r>
      <w:r>
        <w:rPr>
          <w:rFonts w:asciiTheme="minorHAnsi" w:hAnsiTheme="minorHAnsi"/>
          <w:sz w:val="24"/>
          <w:szCs w:val="24"/>
        </w:rPr>
        <w:t xml:space="preserve"> mandatem służby Komisji opublikowały szczegółowy </w:t>
      </w:r>
      <w:r>
        <w:rPr>
          <w:rFonts w:asciiTheme="minorHAnsi" w:hAnsiTheme="minorHAnsi"/>
          <w:sz w:val="24"/>
        </w:rPr>
        <w:t>projekt tekstu prawnego</w:t>
      </w:r>
      <w:r>
        <w:rPr>
          <w:rStyle w:val="Odwoanieprzypisudolnego"/>
          <w:rFonts w:asciiTheme="minorHAnsi" w:hAnsiTheme="minorHAnsi" w:cstheme="minorHAnsi"/>
          <w:sz w:val="24"/>
        </w:rPr>
        <w:footnoteReference w:id="6"/>
      </w:r>
      <w:r>
        <w:rPr>
          <w:rFonts w:asciiTheme="minorHAnsi" w:hAnsiTheme="minorHAnsi"/>
          <w:sz w:val="24"/>
        </w:rPr>
        <w:t xml:space="preserve">. Naszym </w:t>
      </w:r>
      <w:r>
        <w:rPr>
          <w:rFonts w:asciiTheme="minorHAnsi" w:hAnsiTheme="minorHAnsi"/>
          <w:sz w:val="24"/>
          <w:szCs w:val="24"/>
        </w:rPr>
        <w:t>celem jest zawarcie do końca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ambitnej umowy</w:t>
      </w:r>
      <w:r w:rsidR="00BE7466">
        <w:rPr>
          <w:rFonts w:asciiTheme="minorHAnsi" w:hAnsiTheme="minorHAnsi"/>
          <w:sz w:val="24"/>
          <w:szCs w:val="24"/>
        </w:rPr>
        <w:t xml:space="preserve"> o par</w:t>
      </w:r>
      <w:r>
        <w:rPr>
          <w:rFonts w:asciiTheme="minorHAnsi" w:hAnsiTheme="minorHAnsi"/>
          <w:sz w:val="24"/>
          <w:szCs w:val="24"/>
        </w:rPr>
        <w:t>tnerstwie obejmującej wszystkie obszary uzgodnione ze Zjednoczonym Królestwem</w:t>
      </w:r>
      <w:r w:rsidR="00BE7466">
        <w:rPr>
          <w:rFonts w:asciiTheme="minorHAnsi" w:hAnsiTheme="minorHAnsi"/>
          <w:sz w:val="24"/>
          <w:szCs w:val="24"/>
        </w:rPr>
        <w:t xml:space="preserve"> w dek</w:t>
      </w:r>
      <w:r>
        <w:rPr>
          <w:rFonts w:asciiTheme="minorHAnsi" w:hAnsiTheme="minorHAnsi"/>
          <w:sz w:val="24"/>
          <w:szCs w:val="24"/>
        </w:rPr>
        <w:t>laracji politycznej</w:t>
      </w:r>
      <w:r>
        <w:rPr>
          <w:vertAlign w:val="superscript"/>
        </w:rPr>
        <w:footnoteReference w:id="7"/>
      </w:r>
      <w:r>
        <w:rPr>
          <w:rFonts w:asciiTheme="minorHAnsi" w:hAnsiTheme="minorHAnsi"/>
          <w:sz w:val="24"/>
          <w:szCs w:val="24"/>
        </w:rPr>
        <w:t>. Deklaracja ta została przyjęta przez wszystkich unijnych przywódców</w:t>
      </w:r>
      <w:r w:rsidR="00BE7466">
        <w:rPr>
          <w:rFonts w:asciiTheme="minorHAnsi" w:hAnsiTheme="minorHAnsi"/>
          <w:sz w:val="24"/>
          <w:szCs w:val="24"/>
        </w:rPr>
        <w:t xml:space="preserve"> i pre</w:t>
      </w:r>
      <w:r>
        <w:rPr>
          <w:rFonts w:asciiTheme="minorHAnsi" w:hAnsiTheme="minorHAnsi"/>
          <w:sz w:val="24"/>
          <w:szCs w:val="24"/>
        </w:rPr>
        <w:t>miera Borisa Johnsona</w:t>
      </w:r>
      <w:r w:rsidR="00BE7466">
        <w:rPr>
          <w:rFonts w:asciiTheme="minorHAnsi" w:hAnsiTheme="minorHAnsi"/>
          <w:sz w:val="24"/>
          <w:szCs w:val="24"/>
        </w:rPr>
        <w:t xml:space="preserve"> w dni</w:t>
      </w:r>
      <w:r>
        <w:rPr>
          <w:rFonts w:asciiTheme="minorHAnsi" w:hAnsiTheme="minorHAnsi"/>
          <w:sz w:val="24"/>
          <w:szCs w:val="24"/>
        </w:rPr>
        <w:t>u 17 października 20</w:t>
      </w:r>
      <w:r w:rsidRPr="00C43387">
        <w:rPr>
          <w:rFonts w:asciiTheme="minorHAnsi" w:hAnsiTheme="minorHAnsi"/>
          <w:sz w:val="24"/>
          <w:szCs w:val="24"/>
        </w:rPr>
        <w:t>19</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Niemniej jednak, nawet gdyby Unia Europejska</w:t>
      </w:r>
      <w:r w:rsidR="00BE7466">
        <w:rPr>
          <w:rFonts w:asciiTheme="minorHAnsi" w:hAnsiTheme="minorHAnsi"/>
          <w:sz w:val="24"/>
          <w:szCs w:val="24"/>
        </w:rPr>
        <w:t xml:space="preserve"> i Zje</w:t>
      </w:r>
      <w:r>
        <w:rPr>
          <w:rFonts w:asciiTheme="minorHAnsi" w:hAnsiTheme="minorHAnsi"/>
          <w:sz w:val="24"/>
          <w:szCs w:val="24"/>
        </w:rPr>
        <w:t>dnoczone Królestwo miały zawrzeć do końca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ambitną umowę partnerstwa obejmującą wszystkie obszary uzgodnione</w:t>
      </w:r>
      <w:r w:rsidR="00BE7466">
        <w:rPr>
          <w:rFonts w:asciiTheme="minorHAnsi" w:hAnsiTheme="minorHAnsi"/>
          <w:sz w:val="24"/>
          <w:szCs w:val="24"/>
        </w:rPr>
        <w:t xml:space="preserve"> w dek</w:t>
      </w:r>
      <w:r>
        <w:rPr>
          <w:rFonts w:asciiTheme="minorHAnsi" w:hAnsiTheme="minorHAnsi"/>
          <w:sz w:val="24"/>
          <w:szCs w:val="24"/>
        </w:rPr>
        <w:t>laracji politycznej,</w:t>
      </w:r>
      <w:r>
        <w:t xml:space="preserve"> </w:t>
      </w:r>
      <w:r>
        <w:rPr>
          <w:rFonts w:asciiTheme="minorHAnsi" w:hAnsiTheme="minorHAnsi"/>
          <w:sz w:val="24"/>
        </w:rPr>
        <w:t>taka umowa stanowiłaby podstawę stosunków, które będą się znacząco różnić od udziału Zjednoczonego Królestwa</w:t>
      </w:r>
      <w:r w:rsidR="00BE7466">
        <w:rPr>
          <w:rFonts w:asciiTheme="minorHAnsi" w:hAnsiTheme="minorHAnsi"/>
          <w:sz w:val="24"/>
        </w:rPr>
        <w:t xml:space="preserve"> w jed</w:t>
      </w:r>
      <w:r>
        <w:rPr>
          <w:rFonts w:asciiTheme="minorHAnsi" w:hAnsiTheme="minorHAnsi"/>
          <w:sz w:val="24"/>
        </w:rPr>
        <w:t>nolitym rynku UE</w:t>
      </w:r>
      <w:r>
        <w:rPr>
          <w:vertAlign w:val="superscript"/>
        </w:rPr>
        <w:footnoteReference w:id="8"/>
      </w:r>
      <w:r w:rsidR="00BE7466">
        <w:rPr>
          <w:rFonts w:asciiTheme="minorHAnsi" w:hAnsiTheme="minorHAnsi"/>
          <w:sz w:val="24"/>
        </w:rPr>
        <w:t xml:space="preserve"> i uni</w:t>
      </w:r>
      <w:r>
        <w:rPr>
          <w:rFonts w:asciiTheme="minorHAnsi" w:hAnsiTheme="minorHAnsi"/>
          <w:sz w:val="24"/>
        </w:rPr>
        <w:t>i celnej oraz</w:t>
      </w:r>
      <w:r w:rsidR="00BE7466">
        <w:rPr>
          <w:rFonts w:asciiTheme="minorHAnsi" w:hAnsiTheme="minorHAnsi"/>
          <w:sz w:val="24"/>
        </w:rPr>
        <w:t xml:space="preserve"> w obs</w:t>
      </w:r>
      <w:r>
        <w:rPr>
          <w:rFonts w:asciiTheme="minorHAnsi" w:hAnsiTheme="minorHAnsi"/>
          <w:sz w:val="24"/>
        </w:rPr>
        <w:t>zarze podatku VAT</w:t>
      </w:r>
      <w:r w:rsidR="00BE7466">
        <w:rPr>
          <w:rFonts w:asciiTheme="minorHAnsi" w:hAnsiTheme="minorHAnsi"/>
          <w:sz w:val="24"/>
        </w:rPr>
        <w:t xml:space="preserve"> i pod</w:t>
      </w:r>
      <w:r>
        <w:rPr>
          <w:rFonts w:asciiTheme="minorHAnsi" w:hAnsiTheme="minorHAnsi"/>
          <w:sz w:val="24"/>
        </w:rPr>
        <w:t xml:space="preserve">atku akcyzowego. </w:t>
      </w:r>
    </w:p>
    <w:p w:rsidR="005B5E63" w:rsidRDefault="00B858F1">
      <w:pPr>
        <w:jc w:val="both"/>
        <w:rPr>
          <w:rFonts w:asciiTheme="minorHAnsi" w:hAnsiTheme="minorHAnsi" w:cstheme="minorHAnsi"/>
          <w:sz w:val="24"/>
        </w:rPr>
      </w:pPr>
      <w:r>
        <w:rPr>
          <w:rFonts w:asciiTheme="minorHAnsi" w:hAnsiTheme="minorHAnsi"/>
          <w:sz w:val="24"/>
        </w:rPr>
        <w:t>Niewątpliwie fakt, że po zakończeniu okresu przejściowego Zjednoczone Królestwo nie będzie już uczestniczyć</w:t>
      </w:r>
      <w:r w:rsidR="00BE7466">
        <w:rPr>
          <w:rFonts w:asciiTheme="minorHAnsi" w:hAnsiTheme="minorHAnsi"/>
          <w:sz w:val="24"/>
        </w:rPr>
        <w:t xml:space="preserve"> w pol</w:t>
      </w:r>
      <w:r>
        <w:rPr>
          <w:rFonts w:asciiTheme="minorHAnsi" w:hAnsiTheme="minorHAnsi"/>
          <w:sz w:val="24"/>
        </w:rPr>
        <w:t>itykach Unii, spowoduje powstanie nieistniejących obecnie barier dla handlu towarami</w:t>
      </w:r>
      <w:r w:rsidR="00BE7466">
        <w:rPr>
          <w:rFonts w:asciiTheme="minorHAnsi" w:hAnsiTheme="minorHAnsi"/>
          <w:sz w:val="24"/>
        </w:rPr>
        <w:t xml:space="preserve"> i usł</w:t>
      </w:r>
      <w:r>
        <w:rPr>
          <w:rFonts w:asciiTheme="minorHAnsi" w:hAnsiTheme="minorHAnsi"/>
          <w:sz w:val="24"/>
        </w:rPr>
        <w:t>ugami,</w:t>
      </w:r>
      <w:r w:rsidR="00BE7466">
        <w:rPr>
          <w:rFonts w:asciiTheme="minorHAnsi" w:hAnsiTheme="minorHAnsi"/>
          <w:sz w:val="24"/>
        </w:rPr>
        <w:t xml:space="preserve"> a tak</w:t>
      </w:r>
      <w:r>
        <w:rPr>
          <w:rFonts w:asciiTheme="minorHAnsi" w:hAnsiTheme="minorHAnsi"/>
          <w:sz w:val="24"/>
        </w:rPr>
        <w:t>że dla mobilności</w:t>
      </w:r>
      <w:r w:rsidR="00BE7466">
        <w:rPr>
          <w:rFonts w:asciiTheme="minorHAnsi" w:hAnsiTheme="minorHAnsi"/>
          <w:sz w:val="24"/>
        </w:rPr>
        <w:t xml:space="preserve"> i wym</w:t>
      </w:r>
      <w:r>
        <w:rPr>
          <w:rFonts w:asciiTheme="minorHAnsi" w:hAnsiTheme="minorHAnsi"/>
          <w:sz w:val="24"/>
        </w:rPr>
        <w:t>iany transgranicznej. Bariery te będą działać</w:t>
      </w:r>
      <w:r w:rsidR="00BE7466">
        <w:rPr>
          <w:rFonts w:asciiTheme="minorHAnsi" w:hAnsiTheme="minorHAnsi"/>
          <w:sz w:val="24"/>
        </w:rPr>
        <w:t xml:space="preserve"> w obu</w:t>
      </w:r>
      <w:r>
        <w:rPr>
          <w:rFonts w:asciiTheme="minorHAnsi" w:hAnsiTheme="minorHAnsi"/>
          <w:sz w:val="24"/>
        </w:rPr>
        <w:t xml:space="preserve"> kierunkach, tj. ze Zjednoczonego Królestwa do Unii,</w:t>
      </w:r>
      <w:r w:rsidR="00BE7466">
        <w:rPr>
          <w:rFonts w:asciiTheme="minorHAnsi" w:hAnsiTheme="minorHAnsi"/>
          <w:sz w:val="24"/>
        </w:rPr>
        <w:t xml:space="preserve"> a tak</w:t>
      </w:r>
      <w:r>
        <w:rPr>
          <w:rFonts w:asciiTheme="minorHAnsi" w:hAnsiTheme="minorHAnsi"/>
          <w:sz w:val="24"/>
        </w:rPr>
        <w:t>że</w:t>
      </w:r>
      <w:r w:rsidR="00BE7466">
        <w:rPr>
          <w:rFonts w:asciiTheme="minorHAnsi" w:hAnsiTheme="minorHAnsi"/>
          <w:sz w:val="24"/>
        </w:rPr>
        <w:t xml:space="preserve"> z Uni</w:t>
      </w:r>
      <w:r>
        <w:rPr>
          <w:rFonts w:asciiTheme="minorHAnsi" w:hAnsiTheme="minorHAnsi"/>
          <w:sz w:val="24"/>
        </w:rPr>
        <w:t xml:space="preserve">i do Zjednoczonego Królestwa. Będą one miały wpływ na administrację publiczną, </w:t>
      </w:r>
      <w:r>
        <w:rPr>
          <w:rFonts w:asciiTheme="minorHAnsi" w:hAnsiTheme="minorHAnsi"/>
          <w:sz w:val="24"/>
        </w:rPr>
        <w:lastRenderedPageBreak/>
        <w:t>przedsiębiorstwa, obywateli</w:t>
      </w:r>
      <w:r w:rsidR="00BE7466">
        <w:rPr>
          <w:rFonts w:asciiTheme="minorHAnsi" w:hAnsiTheme="minorHAnsi"/>
          <w:sz w:val="24"/>
        </w:rPr>
        <w:t xml:space="preserve"> i zai</w:t>
      </w:r>
      <w:r>
        <w:rPr>
          <w:rFonts w:asciiTheme="minorHAnsi" w:hAnsiTheme="minorHAnsi"/>
          <w:sz w:val="24"/>
        </w:rPr>
        <w:t xml:space="preserve">nteresowane podmioty po obu stronach, dlatego wszyscy muszą się na nie przygotować. </w:t>
      </w:r>
    </w:p>
    <w:p w:rsidR="005B5E63" w:rsidRDefault="00B858F1">
      <w:pPr>
        <w:jc w:val="both"/>
        <w:rPr>
          <w:rFonts w:asciiTheme="minorHAnsi" w:hAnsiTheme="minorHAnsi" w:cstheme="minorHAnsi"/>
          <w:sz w:val="24"/>
        </w:rPr>
      </w:pPr>
      <w:r>
        <w:rPr>
          <w:rFonts w:asciiTheme="minorHAnsi" w:hAnsiTheme="minorHAnsi"/>
          <w:sz w:val="24"/>
          <w:szCs w:val="24"/>
        </w:rPr>
        <w:t>Ze względu na wybory dokonane przez rząd Zjednoczonego Królestwa</w:t>
      </w:r>
      <w:r w:rsidR="00BE7466">
        <w:rPr>
          <w:rFonts w:asciiTheme="minorHAnsi" w:hAnsiTheme="minorHAnsi"/>
          <w:sz w:val="24"/>
          <w:szCs w:val="24"/>
        </w:rPr>
        <w:t xml:space="preserve"> w odn</w:t>
      </w:r>
      <w:r>
        <w:rPr>
          <w:rFonts w:asciiTheme="minorHAnsi" w:hAnsiTheme="minorHAnsi"/>
          <w:sz w:val="24"/>
          <w:szCs w:val="24"/>
        </w:rPr>
        <w:t>iesieniu do przyszłych stosunków oraz nieprzedłużania okresu przejściowego te nieuniknione zakłócenia pojawią się 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sidR="00BE7466">
        <w:rPr>
          <w:rFonts w:asciiTheme="minorHAnsi" w:hAnsiTheme="minorHAnsi"/>
          <w:sz w:val="24"/>
          <w:szCs w:val="24"/>
        </w:rPr>
        <w:t xml:space="preserve"> i ist</w:t>
      </w:r>
      <w:r>
        <w:rPr>
          <w:rFonts w:asciiTheme="minorHAnsi" w:hAnsiTheme="minorHAnsi"/>
          <w:sz w:val="24"/>
          <w:szCs w:val="24"/>
        </w:rPr>
        <w:t>nieje ryzyko nasilenia presji, pod jaką już teraz znajdują się przedsiębiorstwa</w:t>
      </w:r>
      <w:r w:rsidR="00BE7466">
        <w:rPr>
          <w:rFonts w:asciiTheme="minorHAnsi" w:hAnsiTheme="minorHAnsi"/>
          <w:sz w:val="24"/>
          <w:szCs w:val="24"/>
        </w:rPr>
        <w:t xml:space="preserve"> z pow</w:t>
      </w:r>
      <w:r>
        <w:rPr>
          <w:rFonts w:asciiTheme="minorHAnsi" w:hAnsiTheme="minorHAnsi"/>
          <w:sz w:val="24"/>
          <w:szCs w:val="24"/>
        </w:rPr>
        <w:t xml:space="preserve">odu pandemii COVID-19. </w:t>
      </w:r>
    </w:p>
    <w:p w:rsidR="005B5E63" w:rsidRDefault="00B858F1">
      <w:pPr>
        <w:jc w:val="both"/>
        <w:rPr>
          <w:rFonts w:asciiTheme="minorHAnsi" w:hAnsiTheme="minorHAnsi" w:cstheme="minorHAnsi"/>
          <w:sz w:val="24"/>
          <w:szCs w:val="24"/>
        </w:rPr>
      </w:pPr>
      <w:r>
        <w:rPr>
          <w:rFonts w:asciiTheme="minorHAnsi" w:hAnsiTheme="minorHAnsi"/>
          <w:sz w:val="24"/>
        </w:rPr>
        <w:t>Bardzo ważne jest, aby uświadamiać wszystkie zainteresowane strony co do tych kwestii,</w:t>
      </w:r>
      <w:r w:rsidR="00BE7466">
        <w:rPr>
          <w:rFonts w:asciiTheme="minorHAnsi" w:hAnsiTheme="minorHAnsi"/>
          <w:sz w:val="24"/>
        </w:rPr>
        <w:t xml:space="preserve"> a tak</w:t>
      </w:r>
      <w:r>
        <w:rPr>
          <w:rFonts w:asciiTheme="minorHAnsi" w:hAnsiTheme="minorHAnsi"/>
          <w:sz w:val="24"/>
        </w:rPr>
        <w:t xml:space="preserve">że aby przygotowały się one na </w:t>
      </w:r>
      <w:r>
        <w:rPr>
          <w:rFonts w:asciiTheme="minorHAnsi" w:hAnsiTheme="minorHAnsi"/>
          <w:sz w:val="24"/>
          <w:szCs w:val="24"/>
        </w:rPr>
        <w:t>rozległe</w:t>
      </w:r>
      <w:r w:rsidR="00BE7466">
        <w:rPr>
          <w:rFonts w:asciiTheme="minorHAnsi" w:hAnsiTheme="minorHAnsi"/>
          <w:sz w:val="24"/>
          <w:szCs w:val="24"/>
        </w:rPr>
        <w:t xml:space="preserve"> i dal</w:t>
      </w:r>
      <w:r>
        <w:rPr>
          <w:rFonts w:asciiTheme="minorHAnsi" w:hAnsiTheme="minorHAnsi"/>
          <w:sz w:val="24"/>
          <w:szCs w:val="24"/>
        </w:rPr>
        <w:t>eko idące zmiany, które będą miały miejsce</w:t>
      </w:r>
      <w:r w:rsidR="00BE7466">
        <w:rPr>
          <w:rFonts w:asciiTheme="minorHAnsi" w:hAnsiTheme="minorHAnsi"/>
          <w:sz w:val="24"/>
        </w:rPr>
        <w:t xml:space="preserve"> </w:t>
      </w:r>
      <w:r w:rsidR="00BE7466">
        <w:rPr>
          <w:rFonts w:asciiTheme="minorHAnsi" w:hAnsiTheme="minorHAnsi"/>
          <w:i/>
          <w:sz w:val="24"/>
        </w:rPr>
        <w:t>w</w:t>
      </w:r>
      <w:r w:rsidR="00BE7466">
        <w:rPr>
          <w:rFonts w:asciiTheme="minorHAnsi" w:hAnsiTheme="minorHAnsi"/>
          <w:sz w:val="24"/>
        </w:rPr>
        <w:t> </w:t>
      </w:r>
      <w:r w:rsidR="00BE7466">
        <w:rPr>
          <w:rFonts w:asciiTheme="minorHAnsi" w:hAnsiTheme="minorHAnsi"/>
          <w:i/>
          <w:sz w:val="24"/>
        </w:rPr>
        <w:t>prz</w:t>
      </w:r>
      <w:r>
        <w:rPr>
          <w:rFonts w:asciiTheme="minorHAnsi" w:hAnsiTheme="minorHAnsi"/>
          <w:i/>
          <w:sz w:val="24"/>
        </w:rPr>
        <w:t>ypadku każdego scenariusza</w:t>
      </w:r>
      <w:r>
        <w:rPr>
          <w:rFonts w:asciiTheme="minorHAnsi" w:hAnsiTheme="minorHAnsi"/>
          <w:sz w:val="24"/>
          <w:szCs w:val="24"/>
        </w:rPr>
        <w:t>, niezależnie od wyniku negocjacji między Unią Europejską</w:t>
      </w:r>
      <w:r w:rsidR="00BE7466">
        <w:rPr>
          <w:rFonts w:asciiTheme="minorHAnsi" w:hAnsiTheme="minorHAnsi"/>
          <w:sz w:val="24"/>
          <w:szCs w:val="24"/>
        </w:rPr>
        <w:t xml:space="preserve"> a Zje</w:t>
      </w:r>
      <w:r>
        <w:rPr>
          <w:rFonts w:asciiTheme="minorHAnsi" w:hAnsiTheme="minorHAnsi"/>
          <w:sz w:val="24"/>
          <w:szCs w:val="24"/>
        </w:rPr>
        <w:t>dnoczonym Królestwem. Nie można spoczywać na laurach ani odraczać przygotowań</w:t>
      </w:r>
      <w:r w:rsidR="00BE7466">
        <w:rPr>
          <w:rFonts w:asciiTheme="minorHAnsi" w:hAnsiTheme="minorHAnsi"/>
          <w:sz w:val="24"/>
          <w:szCs w:val="24"/>
        </w:rPr>
        <w:t xml:space="preserve"> i dzi</w:t>
      </w:r>
      <w:r>
        <w:rPr>
          <w:rFonts w:asciiTheme="minorHAnsi" w:hAnsiTheme="minorHAnsi"/>
          <w:sz w:val="24"/>
          <w:szCs w:val="24"/>
        </w:rPr>
        <w:t xml:space="preserve">ałań adaptacyjnych, spodziewając się że umowa zapewni ciągłość, ponieważ wiele zmian jest nieuniknionych. </w:t>
      </w:r>
    </w:p>
    <w:p w:rsidR="005B5E63" w:rsidRDefault="00B858F1">
      <w:pPr>
        <w:jc w:val="both"/>
        <w:rPr>
          <w:rFonts w:asciiTheme="minorHAnsi" w:hAnsiTheme="minorHAnsi" w:cstheme="minorHAnsi"/>
          <w:sz w:val="24"/>
          <w:szCs w:val="24"/>
        </w:rPr>
      </w:pPr>
      <w:r>
        <w:rPr>
          <w:rFonts w:asciiTheme="minorHAnsi" w:hAnsiTheme="minorHAnsi"/>
          <w:sz w:val="24"/>
          <w:szCs w:val="24"/>
        </w:rPr>
        <w:t>Celem niniejszego komunikatu nie jest</w:t>
      </w:r>
      <w:r w:rsidR="00BE7466">
        <w:rPr>
          <w:rFonts w:asciiTheme="minorHAnsi" w:hAnsiTheme="minorHAnsi"/>
          <w:sz w:val="24"/>
          <w:szCs w:val="24"/>
        </w:rPr>
        <w:t xml:space="preserve"> w żad</w:t>
      </w:r>
      <w:r>
        <w:rPr>
          <w:rFonts w:asciiTheme="minorHAnsi" w:hAnsiTheme="minorHAnsi"/>
          <w:sz w:val="24"/>
          <w:szCs w:val="24"/>
        </w:rPr>
        <w:t>nym razie przesądzanie</w:t>
      </w:r>
      <w:r w:rsidR="00BE7466">
        <w:rPr>
          <w:rFonts w:asciiTheme="minorHAnsi" w:hAnsiTheme="minorHAnsi"/>
          <w:sz w:val="24"/>
          <w:szCs w:val="24"/>
        </w:rPr>
        <w:t xml:space="preserve"> o wyn</w:t>
      </w:r>
      <w:r>
        <w:rPr>
          <w:rFonts w:asciiTheme="minorHAnsi" w:hAnsiTheme="minorHAnsi"/>
          <w:sz w:val="24"/>
          <w:szCs w:val="24"/>
        </w:rPr>
        <w:t>iku negocjacji ani badanie ewentualnych konsekwencji porażki</w:t>
      </w:r>
      <w:r w:rsidR="00BE7466">
        <w:rPr>
          <w:rFonts w:asciiTheme="minorHAnsi" w:hAnsiTheme="minorHAnsi"/>
          <w:sz w:val="24"/>
          <w:szCs w:val="24"/>
        </w:rPr>
        <w:t xml:space="preserve"> w dąż</w:t>
      </w:r>
      <w:r>
        <w:rPr>
          <w:rFonts w:asciiTheme="minorHAnsi" w:hAnsiTheme="minorHAnsi"/>
          <w:sz w:val="24"/>
          <w:szCs w:val="24"/>
        </w:rPr>
        <w:t>eniu do porozumienia</w:t>
      </w:r>
      <w:r w:rsidR="00BE7466">
        <w:rPr>
          <w:rFonts w:asciiTheme="minorHAnsi" w:hAnsiTheme="minorHAnsi"/>
          <w:sz w:val="24"/>
          <w:szCs w:val="24"/>
        </w:rPr>
        <w:t xml:space="preserve"> w spr</w:t>
      </w:r>
      <w:r>
        <w:rPr>
          <w:rFonts w:asciiTheme="minorHAnsi" w:hAnsiTheme="minorHAnsi"/>
          <w:sz w:val="24"/>
          <w:szCs w:val="24"/>
        </w:rPr>
        <w:t>awie przyszłego partnerstwa. Jego celem jest natomiast zaznaczenie głównych obszarów nieuniknionych zmian oraz ułatwienie osiągnięcia stanu gotowości</w:t>
      </w:r>
      <w:r w:rsidR="00BE7466">
        <w:rPr>
          <w:rFonts w:asciiTheme="minorHAnsi" w:hAnsiTheme="minorHAnsi"/>
          <w:sz w:val="24"/>
          <w:szCs w:val="24"/>
        </w:rPr>
        <w:t xml:space="preserve"> i prz</w:t>
      </w:r>
      <w:r>
        <w:rPr>
          <w:rFonts w:asciiTheme="minorHAnsi" w:hAnsiTheme="minorHAnsi"/>
          <w:sz w:val="24"/>
          <w:szCs w:val="24"/>
        </w:rPr>
        <w:t xml:space="preserve">ygotowania się obywateli, administracji publicznej, przedsiębiorstw oraz wszystkich innych zainteresowanych stron na te nieuniknione zakłócenia. </w:t>
      </w:r>
    </w:p>
    <w:p w:rsidR="005B5E63" w:rsidRDefault="00B858F1">
      <w:pPr>
        <w:jc w:val="both"/>
        <w:rPr>
          <w:rFonts w:asciiTheme="minorHAnsi" w:hAnsiTheme="minorHAnsi" w:cstheme="minorHAnsi"/>
          <w:sz w:val="24"/>
          <w:szCs w:val="24"/>
        </w:rPr>
      </w:pPr>
      <w:r>
        <w:rPr>
          <w:rFonts w:asciiTheme="minorHAnsi" w:hAnsiTheme="minorHAnsi"/>
          <w:sz w:val="24"/>
          <w:szCs w:val="24"/>
        </w:rPr>
        <w:t>W szczególności przedsiębiorstwa powinny rozważyć dokonanie przeglądu swoich planów gotowości. Mimo że plany te opracowywano na wypadek, gdyby Zjednoczone Królestwo wystąpiło</w:t>
      </w:r>
      <w:r w:rsidR="00BE7466">
        <w:rPr>
          <w:rFonts w:asciiTheme="minorHAnsi" w:hAnsiTheme="minorHAnsi"/>
          <w:sz w:val="24"/>
          <w:szCs w:val="24"/>
        </w:rPr>
        <w:t xml:space="preserve"> z Uni</w:t>
      </w:r>
      <w:r>
        <w:rPr>
          <w:rFonts w:asciiTheme="minorHAnsi" w:hAnsiTheme="minorHAnsi"/>
          <w:sz w:val="24"/>
          <w:szCs w:val="24"/>
        </w:rPr>
        <w:t>i bez umowy</w:t>
      </w:r>
      <w:r w:rsidR="00BE7466">
        <w:rPr>
          <w:rFonts w:asciiTheme="minorHAnsi" w:hAnsiTheme="minorHAnsi"/>
          <w:sz w:val="24"/>
          <w:szCs w:val="24"/>
        </w:rPr>
        <w:t xml:space="preserve"> o wys</w:t>
      </w:r>
      <w:r>
        <w:rPr>
          <w:rFonts w:asciiTheme="minorHAnsi" w:hAnsiTheme="minorHAnsi"/>
          <w:sz w:val="24"/>
          <w:szCs w:val="24"/>
        </w:rPr>
        <w:t>tąpieniu – który to scenariusz nie zaistniał – część tej pracy wciąż będzie bardzo istotna</w:t>
      </w:r>
      <w:r w:rsidR="00BE7466">
        <w:rPr>
          <w:rFonts w:asciiTheme="minorHAnsi" w:hAnsiTheme="minorHAnsi"/>
          <w:sz w:val="24"/>
          <w:szCs w:val="24"/>
        </w:rPr>
        <w:t xml:space="preserve"> w świ</w:t>
      </w:r>
      <w:r>
        <w:rPr>
          <w:rFonts w:asciiTheme="minorHAnsi" w:hAnsiTheme="minorHAnsi"/>
          <w:sz w:val="24"/>
          <w:szCs w:val="24"/>
        </w:rPr>
        <w:t>etle zmian, które nastąpią po zakończeniu okresu przejściowego.</w:t>
      </w:r>
    </w:p>
    <w:p w:rsidR="005B5E63" w:rsidRDefault="00B858F1">
      <w:pPr>
        <w:jc w:val="both"/>
        <w:rPr>
          <w:rFonts w:asciiTheme="minorHAnsi" w:hAnsiTheme="minorHAnsi" w:cstheme="minorHAnsi"/>
          <w:sz w:val="24"/>
          <w:szCs w:val="24"/>
        </w:rPr>
      </w:pPr>
      <w:r>
        <w:rPr>
          <w:rFonts w:asciiTheme="minorHAnsi" w:hAnsiTheme="minorHAnsi"/>
          <w:sz w:val="24"/>
          <w:szCs w:val="24"/>
        </w:rPr>
        <w:t>W tym duchu Komisja dokonuje także przeglądu wszystkich 102 zgłoszeń zainteresowanych stron, które opublikowała na etapie negocjacji</w:t>
      </w:r>
      <w:r w:rsidR="00BE7466">
        <w:rPr>
          <w:rFonts w:asciiTheme="minorHAnsi" w:hAnsiTheme="minorHAnsi"/>
          <w:sz w:val="24"/>
          <w:szCs w:val="24"/>
        </w:rPr>
        <w:t xml:space="preserve"> w spr</w:t>
      </w:r>
      <w:r>
        <w:rPr>
          <w:rFonts w:asciiTheme="minorHAnsi" w:hAnsiTheme="minorHAnsi"/>
          <w:sz w:val="24"/>
          <w:szCs w:val="24"/>
        </w:rPr>
        <w:t>awie wystąpienia,</w:t>
      </w:r>
      <w:r w:rsidR="00BE7466">
        <w:rPr>
          <w:rFonts w:asciiTheme="minorHAnsi" w:hAnsiTheme="minorHAnsi"/>
          <w:sz w:val="24"/>
          <w:szCs w:val="24"/>
        </w:rPr>
        <w:t xml:space="preserve"> z któ</w:t>
      </w:r>
      <w:r>
        <w:rPr>
          <w:rFonts w:asciiTheme="minorHAnsi" w:hAnsiTheme="minorHAnsi"/>
          <w:sz w:val="24"/>
          <w:szCs w:val="24"/>
        </w:rPr>
        <w:t>rych większość nadal zachowa swoje znaczenie wraz</w:t>
      </w:r>
      <w:r w:rsidR="00BE7466">
        <w:rPr>
          <w:rFonts w:asciiTheme="minorHAnsi" w:hAnsiTheme="minorHAnsi"/>
          <w:sz w:val="24"/>
          <w:szCs w:val="24"/>
        </w:rPr>
        <w:t xml:space="preserve"> z zak</w:t>
      </w:r>
      <w:r>
        <w:rPr>
          <w:rFonts w:asciiTheme="minorHAnsi" w:hAnsiTheme="minorHAnsi"/>
          <w:sz w:val="24"/>
          <w:szCs w:val="24"/>
        </w:rPr>
        <w:t>ończeniem okresu przejściowego. Dotychczas zaktualizowano 51 spośród tych zgłoszeń, aby odzwierciedlić zmiany, które nastąpią</w:t>
      </w:r>
      <w:r w:rsidR="00BE7466">
        <w:rPr>
          <w:rFonts w:asciiTheme="minorHAnsi" w:hAnsiTheme="minorHAnsi"/>
          <w:sz w:val="24"/>
          <w:szCs w:val="24"/>
        </w:rPr>
        <w:t xml:space="preserve"> z chw</w:t>
      </w:r>
      <w:r>
        <w:rPr>
          <w:rFonts w:asciiTheme="minorHAnsi" w:hAnsiTheme="minorHAnsi"/>
          <w:sz w:val="24"/>
          <w:szCs w:val="24"/>
        </w:rPr>
        <w:t>ilą zakończenia okresu przejściowego; kolejne aktualizacje zostaną opublikowane wkrótce. Ich wykaz znajduje się</w:t>
      </w:r>
      <w:r w:rsidR="00BE7466">
        <w:rPr>
          <w:rFonts w:asciiTheme="minorHAnsi" w:hAnsiTheme="minorHAnsi"/>
          <w:sz w:val="24"/>
          <w:szCs w:val="24"/>
        </w:rPr>
        <w:t xml:space="preserve"> w zał</w:t>
      </w:r>
      <w:r>
        <w:rPr>
          <w:rFonts w:asciiTheme="minorHAnsi" w:hAnsiTheme="minorHAnsi"/>
          <w:sz w:val="24"/>
          <w:szCs w:val="24"/>
        </w:rPr>
        <w:t>ączniku I do niniejszego komunikatu.</w:t>
      </w:r>
    </w:p>
    <w:p w:rsidR="005B5E63" w:rsidRDefault="005B5E63">
      <w:pPr>
        <w:jc w:val="both"/>
        <w:rPr>
          <w:rFonts w:asciiTheme="minorHAnsi" w:hAnsiTheme="minorHAnsi" w:cstheme="minorHAnsi"/>
          <w:sz w:val="24"/>
          <w:szCs w:val="24"/>
        </w:rPr>
      </w:pPr>
    </w:p>
    <w:p w:rsidR="005B5E63" w:rsidRDefault="00B858F1">
      <w:pPr>
        <w:pStyle w:val="Nagwek1"/>
        <w:rPr>
          <w:rFonts w:cstheme="minorHAnsi"/>
        </w:rPr>
      </w:pPr>
      <w:bookmarkStart w:id="2" w:name="_Toc33711662"/>
      <w:bookmarkStart w:id="3" w:name="_Toc46136996"/>
      <w:r>
        <w:t>ZMIANY, KTÓRE BĘDĄ MIAŁY MIEJSCE NIEZALEŻNIE OD SCENARIUSZA</w:t>
      </w:r>
      <w:bookmarkEnd w:id="2"/>
      <w:bookmarkEnd w:id="3"/>
    </w:p>
    <w:p w:rsidR="005B5E63" w:rsidRDefault="00B858F1">
      <w:pPr>
        <w:jc w:val="both"/>
        <w:rPr>
          <w:rFonts w:asciiTheme="minorHAnsi" w:hAnsiTheme="minorHAnsi" w:cstheme="minorHAnsi"/>
          <w:sz w:val="24"/>
          <w:szCs w:val="24"/>
        </w:rPr>
      </w:pPr>
      <w:r>
        <w:rPr>
          <w:rFonts w:asciiTheme="minorHAnsi" w:hAnsiTheme="minorHAnsi"/>
          <w:sz w:val="24"/>
        </w:rPr>
        <w:t>W niniejszej sekcji zawarto przegląd głównych obszarów zmian, które będą miały miejsce</w:t>
      </w:r>
      <w:r w:rsidR="00BE7466">
        <w:rPr>
          <w:rFonts w:asciiTheme="minorHAnsi" w:hAnsiTheme="minorHAnsi"/>
          <w:sz w:val="24"/>
        </w:rPr>
        <w:t xml:space="preserve"> </w:t>
      </w:r>
      <w:r w:rsidR="00BE7466">
        <w:rPr>
          <w:rFonts w:asciiTheme="minorHAnsi" w:hAnsiTheme="minorHAnsi"/>
          <w:b/>
          <w:sz w:val="24"/>
        </w:rPr>
        <w:t>w</w:t>
      </w:r>
      <w:r w:rsidR="00BE7466">
        <w:rPr>
          <w:rFonts w:asciiTheme="minorHAnsi" w:hAnsiTheme="minorHAnsi"/>
          <w:sz w:val="24"/>
        </w:rPr>
        <w:t> </w:t>
      </w:r>
      <w:r w:rsidR="00BE7466">
        <w:rPr>
          <w:rFonts w:asciiTheme="minorHAnsi" w:hAnsiTheme="minorHAnsi"/>
          <w:b/>
          <w:sz w:val="24"/>
        </w:rPr>
        <w:t>każ</w:t>
      </w:r>
      <w:r>
        <w:rPr>
          <w:rFonts w:asciiTheme="minorHAnsi" w:hAnsiTheme="minorHAnsi"/>
          <w:b/>
          <w:sz w:val="24"/>
        </w:rPr>
        <w:t>dym przypadku</w:t>
      </w:r>
      <w:r>
        <w:rPr>
          <w:rFonts w:asciiTheme="minorHAnsi" w:hAnsiTheme="minorHAnsi"/>
          <w:sz w:val="24"/>
        </w:rPr>
        <w:t xml:space="preserve"> po zakończeniu okresu przejściowego </w:t>
      </w:r>
      <w:r>
        <w:rPr>
          <w:rFonts w:asciiTheme="minorHAnsi" w:hAnsiTheme="minorHAnsi"/>
          <w:sz w:val="24"/>
          <w:szCs w:val="24"/>
        </w:rPr>
        <w:t>niezależnie od tego, czy umowa</w:t>
      </w:r>
      <w:r w:rsidR="00BE7466">
        <w:rPr>
          <w:rFonts w:asciiTheme="minorHAnsi" w:hAnsiTheme="minorHAnsi"/>
          <w:sz w:val="24"/>
          <w:szCs w:val="24"/>
        </w:rPr>
        <w:t xml:space="preserve"> o prz</w:t>
      </w:r>
      <w:r>
        <w:rPr>
          <w:rFonts w:asciiTheme="minorHAnsi" w:hAnsiTheme="minorHAnsi"/>
          <w:sz w:val="24"/>
          <w:szCs w:val="24"/>
        </w:rPr>
        <w:t>yszłym partnerstwie między Unią Europejską</w:t>
      </w:r>
      <w:r w:rsidR="00BE7466">
        <w:rPr>
          <w:rFonts w:asciiTheme="minorHAnsi" w:hAnsiTheme="minorHAnsi"/>
          <w:sz w:val="24"/>
          <w:szCs w:val="24"/>
        </w:rPr>
        <w:t xml:space="preserve"> a Zje</w:t>
      </w:r>
      <w:r>
        <w:rPr>
          <w:rFonts w:asciiTheme="minorHAnsi" w:hAnsiTheme="minorHAnsi"/>
          <w:sz w:val="24"/>
          <w:szCs w:val="24"/>
        </w:rPr>
        <w:t xml:space="preserve">dnoczonym Królestwem zostanie zawarta, czy nie. </w:t>
      </w:r>
    </w:p>
    <w:p w:rsidR="005B5E63" w:rsidRDefault="00B858F1">
      <w:pPr>
        <w:jc w:val="both"/>
        <w:rPr>
          <w:rFonts w:asciiTheme="minorHAnsi" w:hAnsiTheme="minorHAnsi" w:cstheme="minorHAnsi"/>
          <w:sz w:val="24"/>
          <w:szCs w:val="24"/>
        </w:rPr>
      </w:pPr>
      <w:r>
        <w:rPr>
          <w:rFonts w:asciiTheme="minorHAnsi" w:hAnsiTheme="minorHAnsi"/>
          <w:sz w:val="24"/>
          <w:szCs w:val="24"/>
        </w:rPr>
        <w:lastRenderedPageBreak/>
        <w:t>Opisane zmiany nastąpią automatycznie, co wynika</w:t>
      </w:r>
      <w:r w:rsidR="00BE7466">
        <w:rPr>
          <w:rFonts w:asciiTheme="minorHAnsi" w:hAnsiTheme="minorHAnsi"/>
          <w:sz w:val="24"/>
          <w:szCs w:val="24"/>
        </w:rPr>
        <w:t xml:space="preserve"> z </w:t>
      </w:r>
      <w:r w:rsidR="00BE7466">
        <w:rPr>
          <w:rFonts w:asciiTheme="minorHAnsi" w:hAnsiTheme="minorHAnsi"/>
          <w:sz w:val="24"/>
        </w:rPr>
        <w:t>fak</w:t>
      </w:r>
      <w:r>
        <w:rPr>
          <w:rFonts w:asciiTheme="minorHAnsi" w:hAnsiTheme="minorHAnsi"/>
          <w:sz w:val="24"/>
        </w:rPr>
        <w:t>tu, że dnia 1 stycznia 20</w:t>
      </w:r>
      <w:r w:rsidRPr="00C43387">
        <w:rPr>
          <w:rFonts w:asciiTheme="minorHAnsi" w:hAnsiTheme="minorHAnsi"/>
          <w:sz w:val="24"/>
        </w:rPr>
        <w:t>21</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zakończy się okres przejściowy umożliwiający Zjednoczonemu Królestwu udział</w:t>
      </w:r>
      <w:r w:rsidR="00BE7466">
        <w:rPr>
          <w:rFonts w:asciiTheme="minorHAnsi" w:hAnsiTheme="minorHAnsi"/>
          <w:sz w:val="24"/>
        </w:rPr>
        <w:t xml:space="preserve"> w jed</w:t>
      </w:r>
      <w:r>
        <w:rPr>
          <w:rFonts w:asciiTheme="minorHAnsi" w:hAnsiTheme="minorHAnsi"/>
          <w:sz w:val="24"/>
        </w:rPr>
        <w:t>nolitym rynku UE oraz unii celnej, przez co skończy się swobodny przepływ osób, towarów</w:t>
      </w:r>
      <w:r w:rsidR="00BE7466">
        <w:rPr>
          <w:rFonts w:asciiTheme="minorHAnsi" w:hAnsiTheme="minorHAnsi"/>
          <w:sz w:val="24"/>
        </w:rPr>
        <w:t xml:space="preserve"> i usł</w:t>
      </w:r>
      <w:r>
        <w:rPr>
          <w:rFonts w:asciiTheme="minorHAnsi" w:hAnsiTheme="minorHAnsi"/>
          <w:sz w:val="24"/>
        </w:rPr>
        <w:t>ug</w:t>
      </w:r>
      <w:r>
        <w:rPr>
          <w:rFonts w:asciiTheme="minorHAnsi" w:hAnsiTheme="minorHAnsi"/>
          <w:sz w:val="24"/>
          <w:szCs w:val="24"/>
        </w:rPr>
        <w:t>. Wystąpienie</w:t>
      </w:r>
      <w:r w:rsidR="00BE7466">
        <w:rPr>
          <w:rFonts w:asciiTheme="minorHAnsi" w:hAnsiTheme="minorHAnsi"/>
          <w:sz w:val="24"/>
          <w:szCs w:val="24"/>
        </w:rPr>
        <w:t xml:space="preserve"> z jed</w:t>
      </w:r>
      <w:r>
        <w:rPr>
          <w:rFonts w:asciiTheme="minorHAnsi" w:hAnsiTheme="minorHAnsi"/>
          <w:sz w:val="24"/>
          <w:szCs w:val="24"/>
        </w:rPr>
        <w:t>nolitego rynku</w:t>
      </w:r>
      <w:r w:rsidR="00BE7466">
        <w:rPr>
          <w:rFonts w:asciiTheme="minorHAnsi" w:hAnsiTheme="minorHAnsi"/>
          <w:sz w:val="24"/>
          <w:szCs w:val="24"/>
        </w:rPr>
        <w:t xml:space="preserve"> i uni</w:t>
      </w:r>
      <w:r>
        <w:rPr>
          <w:rFonts w:asciiTheme="minorHAnsi" w:hAnsiTheme="minorHAnsi"/>
          <w:sz w:val="24"/>
          <w:szCs w:val="24"/>
        </w:rPr>
        <w:t>i celnej będzie prowadziło do dodatkowych barier dla handlu oraz</w:t>
      </w:r>
      <w:r>
        <w:rPr>
          <w:rFonts w:asciiTheme="minorHAnsi" w:hAnsiTheme="minorHAnsi"/>
          <w:sz w:val="24"/>
        </w:rPr>
        <w:t xml:space="preserve"> dla transgranicznej mobilności ludzi</w:t>
      </w:r>
      <w:r w:rsidR="00BE7466">
        <w:rPr>
          <w:rFonts w:asciiTheme="minorHAnsi" w:hAnsiTheme="minorHAnsi"/>
          <w:sz w:val="24"/>
        </w:rPr>
        <w:t xml:space="preserve"> i nie</w:t>
      </w:r>
      <w:r>
        <w:rPr>
          <w:rFonts w:asciiTheme="minorHAnsi" w:hAnsiTheme="minorHAnsi"/>
          <w:sz w:val="24"/>
        </w:rPr>
        <w:t xml:space="preserve">zbędne będą dostosowania zarówno po stronie Unii, jak i po stronie Zjednoczonego Królestwa. </w:t>
      </w:r>
      <w:r>
        <w:rPr>
          <w:rFonts w:asciiTheme="minorHAnsi" w:hAnsiTheme="minorHAnsi"/>
          <w:sz w:val="24"/>
          <w:szCs w:val="24"/>
        </w:rPr>
        <w:t>Występując</w:t>
      </w:r>
      <w:r w:rsidR="00BE7466">
        <w:rPr>
          <w:rFonts w:asciiTheme="minorHAnsi" w:hAnsiTheme="minorHAnsi"/>
          <w:sz w:val="24"/>
          <w:szCs w:val="24"/>
        </w:rPr>
        <w:t xml:space="preserve"> z </w:t>
      </w:r>
      <w:r w:rsidR="00BE7466">
        <w:rPr>
          <w:rFonts w:asciiTheme="minorHAnsi" w:hAnsiTheme="minorHAnsi"/>
          <w:sz w:val="24"/>
        </w:rPr>
        <w:t>Uni</w:t>
      </w:r>
      <w:r>
        <w:rPr>
          <w:rFonts w:asciiTheme="minorHAnsi" w:hAnsiTheme="minorHAnsi"/>
          <w:sz w:val="24"/>
        </w:rPr>
        <w:t>i</w:t>
      </w:r>
      <w:r>
        <w:rPr>
          <w:rFonts w:asciiTheme="minorHAnsi" w:hAnsiTheme="minorHAnsi"/>
          <w:sz w:val="24"/>
          <w:szCs w:val="24"/>
        </w:rPr>
        <w:t>, Zjednoczone Królestwo odstępuje także automatycznie</w:t>
      </w:r>
      <w:r w:rsidR="00BE7466">
        <w:rPr>
          <w:rFonts w:asciiTheme="minorHAnsi" w:hAnsiTheme="minorHAnsi"/>
          <w:sz w:val="24"/>
          <w:szCs w:val="24"/>
        </w:rPr>
        <w:t xml:space="preserve"> i z moc</w:t>
      </w:r>
      <w:r>
        <w:rPr>
          <w:rFonts w:asciiTheme="minorHAnsi" w:hAnsiTheme="minorHAnsi"/>
          <w:sz w:val="24"/>
          <w:szCs w:val="24"/>
        </w:rPr>
        <w:t>y prawa od wszystkich unijnych umów międzynarodowych.</w:t>
      </w:r>
    </w:p>
    <w:p w:rsidR="005B5E63" w:rsidRDefault="00B858F1">
      <w:pPr>
        <w:jc w:val="both"/>
        <w:rPr>
          <w:rFonts w:asciiTheme="minorHAnsi" w:hAnsiTheme="minorHAnsi" w:cstheme="minorHAnsi"/>
          <w:sz w:val="24"/>
        </w:rPr>
      </w:pPr>
      <w:r>
        <w:rPr>
          <w:rFonts w:asciiTheme="minorHAnsi" w:hAnsiTheme="minorHAnsi"/>
          <w:sz w:val="24"/>
        </w:rPr>
        <w:t>Administracja publiczna, przedsiębiorstwa</w:t>
      </w:r>
      <w:r w:rsidR="00BE7466">
        <w:rPr>
          <w:rFonts w:asciiTheme="minorHAnsi" w:hAnsiTheme="minorHAnsi"/>
          <w:sz w:val="24"/>
        </w:rPr>
        <w:t xml:space="preserve"> i oby</w:t>
      </w:r>
      <w:r>
        <w:rPr>
          <w:rFonts w:asciiTheme="minorHAnsi" w:hAnsiTheme="minorHAnsi"/>
          <w:sz w:val="24"/>
        </w:rPr>
        <w:t>watele Unii muszą pilnie powziąć wszelkie niezbędne środki gotowości,</w:t>
      </w:r>
      <w:r w:rsidR="00BE7466">
        <w:rPr>
          <w:rFonts w:asciiTheme="minorHAnsi" w:hAnsiTheme="minorHAnsi"/>
          <w:sz w:val="24"/>
        </w:rPr>
        <w:t xml:space="preserve"> o ile</w:t>
      </w:r>
      <w:r>
        <w:rPr>
          <w:rFonts w:asciiTheme="minorHAnsi" w:hAnsiTheme="minorHAnsi"/>
          <w:sz w:val="24"/>
        </w:rPr>
        <w:t xml:space="preserve"> jeszcze tego nie zrobiły, aby przygotować się na te zmiany</w:t>
      </w:r>
      <w:r w:rsidR="00BE7466">
        <w:rPr>
          <w:rFonts w:asciiTheme="minorHAnsi" w:hAnsiTheme="minorHAnsi"/>
          <w:sz w:val="24"/>
        </w:rPr>
        <w:t xml:space="preserve"> w cel</w:t>
      </w:r>
      <w:r>
        <w:rPr>
          <w:rFonts w:asciiTheme="minorHAnsi" w:hAnsiTheme="minorHAnsi"/>
          <w:sz w:val="24"/>
        </w:rPr>
        <w:t xml:space="preserve">u minimalizacji, na tyle, na ile jest to możliwe, kosztów zakłóceń. </w:t>
      </w:r>
    </w:p>
    <w:p w:rsidR="005B5E63" w:rsidRDefault="00B858F1">
      <w:pPr>
        <w:pStyle w:val="Nagwek2"/>
        <w:rPr>
          <w:rFonts w:cstheme="minorHAnsi"/>
        </w:rPr>
      </w:pPr>
      <w:bookmarkStart w:id="4" w:name="_Toc46136997"/>
      <w:r>
        <w:t>Handel towarami</w:t>
      </w:r>
      <w:r>
        <w:rPr>
          <w:rStyle w:val="Odwoanieprzypisudolnego"/>
          <w:rFonts w:cstheme="minorHAnsi"/>
        </w:rPr>
        <w:footnoteReference w:id="9"/>
      </w:r>
      <w:bookmarkEnd w:id="4"/>
      <w: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Zmiany opisane</w:t>
      </w:r>
      <w:r w:rsidR="00BE7466">
        <w:rPr>
          <w:rFonts w:asciiTheme="minorHAnsi" w:hAnsiTheme="minorHAnsi"/>
          <w:sz w:val="24"/>
          <w:szCs w:val="24"/>
        </w:rPr>
        <w:t xml:space="preserve"> w pon</w:t>
      </w:r>
      <w:r>
        <w:rPr>
          <w:rFonts w:asciiTheme="minorHAnsi" w:hAnsiTheme="minorHAnsi"/>
          <w:sz w:val="24"/>
          <w:szCs w:val="24"/>
        </w:rPr>
        <w:t>iższych podsekcjach nie będą miały zastosowania do handlu między UE</w:t>
      </w:r>
      <w:r w:rsidR="00BE7466">
        <w:rPr>
          <w:rFonts w:asciiTheme="minorHAnsi" w:hAnsiTheme="minorHAnsi"/>
          <w:sz w:val="24"/>
          <w:szCs w:val="24"/>
        </w:rPr>
        <w:t xml:space="preserve"> a Irl</w:t>
      </w:r>
      <w:r>
        <w:rPr>
          <w:rFonts w:asciiTheme="minorHAnsi" w:hAnsiTheme="minorHAnsi"/>
          <w:sz w:val="24"/>
          <w:szCs w:val="24"/>
        </w:rPr>
        <w:t>andią Północną,</w:t>
      </w:r>
      <w:r w:rsidR="00BE7466">
        <w:rPr>
          <w:rFonts w:asciiTheme="minorHAnsi" w:hAnsiTheme="minorHAnsi"/>
          <w:sz w:val="24"/>
          <w:szCs w:val="24"/>
        </w:rPr>
        <w:t xml:space="preserve"> w prz</w:t>
      </w:r>
      <w:r>
        <w:rPr>
          <w:rFonts w:asciiTheme="minorHAnsi" w:hAnsiTheme="minorHAnsi"/>
          <w:sz w:val="24"/>
          <w:szCs w:val="24"/>
        </w:rPr>
        <w:t>ypadku którego po zakończeniu okresu przejściowego będą miały zastosowanie protokół</w:t>
      </w:r>
      <w:r w:rsidR="00BE7466">
        <w:rPr>
          <w:rFonts w:asciiTheme="minorHAnsi" w:hAnsiTheme="minorHAnsi"/>
          <w:sz w:val="24"/>
          <w:szCs w:val="24"/>
        </w:rPr>
        <w:t xml:space="preserve"> w spr</w:t>
      </w:r>
      <w:r>
        <w:rPr>
          <w:rFonts w:asciiTheme="minorHAnsi" w:hAnsiTheme="minorHAnsi"/>
          <w:sz w:val="24"/>
          <w:szCs w:val="24"/>
        </w:rPr>
        <w:t>awie Irlandii</w:t>
      </w:r>
      <w:r w:rsidR="00BE7466">
        <w:rPr>
          <w:rFonts w:asciiTheme="minorHAnsi" w:hAnsiTheme="minorHAnsi"/>
          <w:sz w:val="24"/>
          <w:szCs w:val="24"/>
        </w:rPr>
        <w:t xml:space="preserve"> i Irl</w:t>
      </w:r>
      <w:r>
        <w:rPr>
          <w:rFonts w:asciiTheme="minorHAnsi" w:hAnsiTheme="minorHAnsi"/>
          <w:sz w:val="24"/>
          <w:szCs w:val="24"/>
        </w:rPr>
        <w:t>andii Północnej, stanowiący integralną część umowy</w:t>
      </w:r>
      <w:r w:rsidR="00BE7466">
        <w:rPr>
          <w:rFonts w:asciiTheme="minorHAnsi" w:hAnsiTheme="minorHAnsi"/>
          <w:sz w:val="24"/>
          <w:szCs w:val="24"/>
        </w:rPr>
        <w:t xml:space="preserve"> o wys</w:t>
      </w:r>
      <w:r>
        <w:rPr>
          <w:rFonts w:asciiTheme="minorHAnsi" w:hAnsiTheme="minorHAnsi"/>
          <w:sz w:val="24"/>
          <w:szCs w:val="24"/>
        </w:rPr>
        <w:t>tąpieniu, oraz wszelkie umowy</w:t>
      </w:r>
      <w:r w:rsidR="00BE7466">
        <w:rPr>
          <w:rFonts w:asciiTheme="minorHAnsi" w:hAnsiTheme="minorHAnsi"/>
          <w:sz w:val="24"/>
          <w:szCs w:val="24"/>
        </w:rPr>
        <w:t xml:space="preserve"> w spr</w:t>
      </w:r>
      <w:r>
        <w:rPr>
          <w:rFonts w:asciiTheme="minorHAnsi" w:hAnsiTheme="minorHAnsi"/>
          <w:sz w:val="24"/>
          <w:szCs w:val="24"/>
        </w:rPr>
        <w:t>awie przyszłego partnerstwa</w:t>
      </w:r>
      <w:r>
        <w:rPr>
          <w:rStyle w:val="Odwoanieprzypisudolnego"/>
          <w:rFonts w:asciiTheme="minorHAnsi" w:hAnsiTheme="minorHAnsi" w:cstheme="minorHAnsi"/>
          <w:sz w:val="24"/>
          <w:szCs w:val="24"/>
        </w:rPr>
        <w:footnoteReference w:id="10"/>
      </w:r>
      <w:r>
        <w:rPr>
          <w:rFonts w:asciiTheme="minorHAnsi" w:hAnsiTheme="minorHAnsi"/>
          <w:sz w:val="24"/>
          <w:szCs w:val="24"/>
        </w:rPr>
        <w:t>.</w:t>
      </w:r>
    </w:p>
    <w:p w:rsidR="005B5E63" w:rsidRDefault="00B858F1">
      <w:pPr>
        <w:jc w:val="both"/>
        <w:rPr>
          <w:rFonts w:asciiTheme="minorHAnsi" w:hAnsiTheme="minorHAnsi" w:cstheme="minorHAnsi"/>
          <w:sz w:val="24"/>
          <w:szCs w:val="24"/>
        </w:rPr>
      </w:pPr>
      <w:r>
        <w:rPr>
          <w:rFonts w:asciiTheme="minorHAnsi" w:hAnsiTheme="minorHAnsi"/>
          <w:sz w:val="24"/>
          <w:szCs w:val="24"/>
        </w:rPr>
        <w:t>Zgodnie</w:t>
      </w:r>
      <w:r w:rsidR="00BE7466">
        <w:rPr>
          <w:rFonts w:asciiTheme="minorHAnsi" w:hAnsiTheme="minorHAnsi"/>
          <w:sz w:val="24"/>
          <w:szCs w:val="24"/>
        </w:rPr>
        <w:t xml:space="preserve"> z tym</w:t>
      </w:r>
      <w:r>
        <w:rPr>
          <w:rFonts w:asciiTheme="minorHAnsi" w:hAnsiTheme="minorHAnsi"/>
          <w:sz w:val="24"/>
          <w:szCs w:val="24"/>
        </w:rPr>
        <w:t xml:space="preserve"> protokołem również przepisy unijne dotyczące towarów (w tym reguły fiskalne, tj. podatek pośredni,</w:t>
      </w:r>
      <w:r w:rsidR="00BE7466">
        <w:rPr>
          <w:rFonts w:asciiTheme="minorHAnsi" w:hAnsiTheme="minorHAnsi"/>
          <w:sz w:val="24"/>
          <w:szCs w:val="24"/>
        </w:rPr>
        <w:t xml:space="preserve"> i reg</w:t>
      </w:r>
      <w:r>
        <w:rPr>
          <w:rFonts w:asciiTheme="minorHAnsi" w:hAnsiTheme="minorHAnsi"/>
          <w:sz w:val="24"/>
          <w:szCs w:val="24"/>
        </w:rPr>
        <w:t>uły niefiskalne) oraz unijny kodeks celny będą miały</w:t>
      </w:r>
      <w:r w:rsidR="00BE7466">
        <w:rPr>
          <w:rFonts w:asciiTheme="minorHAnsi" w:hAnsiTheme="minorHAnsi"/>
          <w:sz w:val="24"/>
          <w:szCs w:val="24"/>
        </w:rPr>
        <w:t xml:space="preserve"> w dal</w:t>
      </w:r>
      <w:r>
        <w:rPr>
          <w:rFonts w:asciiTheme="minorHAnsi" w:hAnsiTheme="minorHAnsi"/>
          <w:sz w:val="24"/>
          <w:szCs w:val="24"/>
        </w:rPr>
        <w:t>szym ciągu zastosowanie do Irlandii Północnej i na jej terytorium (więcej informacji znajduje się</w:t>
      </w:r>
      <w:r w:rsidR="00BE7466">
        <w:rPr>
          <w:rFonts w:asciiTheme="minorHAnsi" w:hAnsiTheme="minorHAnsi"/>
          <w:sz w:val="24"/>
          <w:szCs w:val="24"/>
        </w:rPr>
        <w:t xml:space="preserve"> w ram</w:t>
      </w:r>
      <w:r>
        <w:rPr>
          <w:rFonts w:asciiTheme="minorHAnsi" w:hAnsiTheme="minorHAnsi"/>
          <w:sz w:val="24"/>
          <w:szCs w:val="24"/>
        </w:rPr>
        <w:t>ce</w:t>
      </w:r>
      <w:r w:rsidR="00BE7466">
        <w:rPr>
          <w:rFonts w:asciiTheme="minorHAnsi" w:hAnsiTheme="minorHAnsi"/>
          <w:sz w:val="24"/>
          <w:szCs w:val="24"/>
        </w:rPr>
        <w:t xml:space="preserve"> w czę</w:t>
      </w:r>
      <w:r>
        <w:rPr>
          <w:rFonts w:asciiTheme="minorHAnsi" w:hAnsiTheme="minorHAnsi"/>
          <w:sz w:val="24"/>
          <w:szCs w:val="24"/>
        </w:rPr>
        <w:t>ści III).</w:t>
      </w:r>
    </w:p>
    <w:p w:rsidR="005B5E63" w:rsidRDefault="00B858F1">
      <w:pPr>
        <w:pStyle w:val="Nagwek3"/>
      </w:pPr>
      <w:bookmarkStart w:id="5" w:name="_Toc46136998"/>
      <w:r>
        <w:t>A.1. Formalności celne, odprawy</w:t>
      </w:r>
      <w:r w:rsidR="00BE7466">
        <w:t xml:space="preserve"> i kon</w:t>
      </w:r>
      <w:r>
        <w:t>trole celne</w:t>
      </w:r>
      <w:bookmarkEnd w:id="5"/>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UE</w:t>
      </w:r>
      <w:r w:rsidR="00BE7466">
        <w:rPr>
          <w:rFonts w:asciiTheme="minorHAnsi" w:hAnsiTheme="minorHAnsi"/>
          <w:sz w:val="24"/>
          <w:szCs w:val="24"/>
        </w:rPr>
        <w:t xml:space="preserve"> i uni</w:t>
      </w:r>
      <w:r>
        <w:rPr>
          <w:rFonts w:asciiTheme="minorHAnsi" w:hAnsiTheme="minorHAnsi"/>
          <w:sz w:val="24"/>
          <w:szCs w:val="24"/>
        </w:rPr>
        <w:t>i celnej</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nie istnieją obecnie żadne formalności celne</w:t>
      </w:r>
      <w:r w:rsidR="00BE7466">
        <w:rPr>
          <w:rFonts w:asciiTheme="minorHAnsi" w:hAnsiTheme="minorHAnsi"/>
          <w:sz w:val="24"/>
          <w:szCs w:val="24"/>
        </w:rPr>
        <w:t xml:space="preserve"> w odn</w:t>
      </w:r>
      <w:r>
        <w:rPr>
          <w:rFonts w:asciiTheme="minorHAnsi" w:hAnsiTheme="minorHAnsi"/>
          <w:sz w:val="24"/>
          <w:szCs w:val="24"/>
        </w:rPr>
        <w:t>iesieniu do towarów przemieszczanych między Z</w:t>
      </w:r>
      <w:r>
        <w:rPr>
          <w:rFonts w:asciiTheme="minorHAnsi" w:hAnsiTheme="minorHAnsi"/>
          <w:sz w:val="24"/>
        </w:rPr>
        <w:t>jednoczonym Królestwem</w:t>
      </w:r>
      <w:r w:rsidR="00BE7466">
        <w:rPr>
          <w:rFonts w:asciiTheme="minorHAnsi" w:hAnsiTheme="minorHAnsi"/>
          <w:sz w:val="24"/>
        </w:rPr>
        <w:t xml:space="preserve"> </w:t>
      </w:r>
      <w:r w:rsidR="00BE7466">
        <w:rPr>
          <w:rFonts w:asciiTheme="minorHAnsi" w:hAnsiTheme="minorHAnsi"/>
          <w:sz w:val="24"/>
          <w:szCs w:val="24"/>
        </w:rPr>
        <w:t>a</w:t>
      </w:r>
      <w:r w:rsidR="00BE7466">
        <w:rPr>
          <w:rFonts w:asciiTheme="minorHAnsi" w:hAnsiTheme="minorHAnsi"/>
          <w:sz w:val="24"/>
        </w:rPr>
        <w:t> </w:t>
      </w:r>
      <w:r w:rsidR="00BE7466">
        <w:rPr>
          <w:rFonts w:asciiTheme="minorHAnsi" w:hAnsiTheme="minorHAnsi"/>
          <w:sz w:val="24"/>
          <w:szCs w:val="24"/>
        </w:rPr>
        <w:t>Uni</w:t>
      </w:r>
      <w:r>
        <w:rPr>
          <w:rFonts w:asciiTheme="minorHAnsi" w:hAnsiTheme="minorHAnsi"/>
          <w:sz w:val="24"/>
          <w:szCs w:val="24"/>
        </w:rPr>
        <w:t>ą.</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Zjednoczone Królestwo przestanie uczestniczyć</w:t>
      </w:r>
      <w:r w:rsidR="00BE7466">
        <w:rPr>
          <w:rFonts w:asciiTheme="minorHAnsi" w:hAnsiTheme="minorHAnsi"/>
          <w:sz w:val="24"/>
          <w:szCs w:val="24"/>
        </w:rPr>
        <w:t xml:space="preserve"> w uni</w:t>
      </w:r>
      <w:r>
        <w:rPr>
          <w:rFonts w:asciiTheme="minorHAnsi" w:hAnsiTheme="minorHAnsi"/>
          <w:sz w:val="24"/>
          <w:szCs w:val="24"/>
        </w:rPr>
        <w:t>i celnej UE</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formalności celne wymagane na mocy prawa Unii będą miały zastosowanie do wszystkich towarów wprowadzanych na obszar Unii ze Zjednoczonego Królestwa lub wywożonych</w:t>
      </w:r>
      <w:r w:rsidR="00BE7466">
        <w:rPr>
          <w:rFonts w:asciiTheme="minorHAnsi" w:hAnsiTheme="minorHAnsi"/>
          <w:sz w:val="24"/>
          <w:szCs w:val="24"/>
        </w:rPr>
        <w:t xml:space="preserve"> z obs</w:t>
      </w:r>
      <w:r>
        <w:rPr>
          <w:rFonts w:asciiTheme="minorHAnsi" w:hAnsiTheme="minorHAnsi"/>
          <w:sz w:val="24"/>
          <w:szCs w:val="24"/>
        </w:rPr>
        <w:t xml:space="preserve">zaru celnego do Zjednoczonego Królestwa. </w:t>
      </w:r>
    </w:p>
    <w:p w:rsidR="005B5E63" w:rsidRDefault="00B858F1">
      <w:pPr>
        <w:spacing w:after="120"/>
        <w:jc w:val="both"/>
        <w:rPr>
          <w:rFonts w:asciiTheme="minorHAnsi" w:hAnsiTheme="minorHAnsi" w:cstheme="minorHAnsi"/>
          <w:b/>
          <w:sz w:val="24"/>
          <w:szCs w:val="24"/>
        </w:rPr>
      </w:pPr>
      <w:r>
        <w:rPr>
          <w:rFonts w:asciiTheme="minorHAnsi" w:hAnsiTheme="minorHAnsi"/>
          <w:b/>
          <w:sz w:val="24"/>
          <w:szCs w:val="24"/>
        </w:rPr>
        <w:t>Taka sytuacja będzie miała miejsce, nawet jeśli zostanie ustanowiona ambitna strefa wolnego handlu ze Zjednoczonym Królestwem,</w:t>
      </w:r>
      <w:r w:rsidR="00BE7466">
        <w:rPr>
          <w:rFonts w:asciiTheme="minorHAnsi" w:hAnsiTheme="minorHAnsi"/>
          <w:b/>
          <w:sz w:val="24"/>
          <w:szCs w:val="24"/>
        </w:rPr>
        <w:t xml:space="preserve"> w któ</w:t>
      </w:r>
      <w:r>
        <w:rPr>
          <w:rFonts w:asciiTheme="minorHAnsi" w:hAnsiTheme="minorHAnsi"/>
          <w:b/>
          <w:sz w:val="24"/>
          <w:szCs w:val="24"/>
        </w:rPr>
        <w:t xml:space="preserve">rej obowiązywać będą zerowe stawki </w:t>
      </w:r>
      <w:r>
        <w:rPr>
          <w:rFonts w:asciiTheme="minorHAnsi" w:hAnsiTheme="minorHAnsi"/>
          <w:b/>
          <w:sz w:val="24"/>
          <w:szCs w:val="24"/>
        </w:rPr>
        <w:lastRenderedPageBreak/>
        <w:t>celne</w:t>
      </w:r>
      <w:r w:rsidR="00BE7466">
        <w:rPr>
          <w:rFonts w:asciiTheme="minorHAnsi" w:hAnsiTheme="minorHAnsi"/>
          <w:b/>
          <w:sz w:val="24"/>
          <w:szCs w:val="24"/>
        </w:rPr>
        <w:t xml:space="preserve"> i zer</w:t>
      </w:r>
      <w:r>
        <w:rPr>
          <w:rFonts w:asciiTheme="minorHAnsi" w:hAnsiTheme="minorHAnsi"/>
          <w:b/>
          <w:sz w:val="24"/>
          <w:szCs w:val="24"/>
        </w:rPr>
        <w:t>owe kontyngenty na towary, oraz prowadzona będzie współpraca celna</w:t>
      </w:r>
      <w:r w:rsidR="00BE7466">
        <w:rPr>
          <w:rFonts w:asciiTheme="minorHAnsi" w:hAnsiTheme="minorHAnsi"/>
          <w:b/>
          <w:sz w:val="24"/>
          <w:szCs w:val="24"/>
        </w:rPr>
        <w:t xml:space="preserve"> i reg</w:t>
      </w:r>
      <w:r>
        <w:rPr>
          <w:rFonts w:asciiTheme="minorHAnsi" w:hAnsiTheme="minorHAnsi"/>
          <w:b/>
          <w:sz w:val="24"/>
          <w:szCs w:val="24"/>
        </w:rPr>
        <w:t xml:space="preserve">ulacyjna.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Po stronie UE organy celne będą prowadzić kontrole na podstawie unijnego kodeksu celnego zgodnie ze wspólnym systemem opartym na analizie ryzyka, stosowanym do wszystkich innych granic zewnętrznych Unii</w:t>
      </w:r>
      <w:r w:rsidR="00BE7466">
        <w:rPr>
          <w:rFonts w:asciiTheme="minorHAnsi" w:hAnsiTheme="minorHAnsi"/>
          <w:sz w:val="24"/>
          <w:szCs w:val="24"/>
        </w:rPr>
        <w:t xml:space="preserve"> w prz</w:t>
      </w:r>
      <w:r>
        <w:rPr>
          <w:rFonts w:asciiTheme="minorHAnsi" w:hAnsiTheme="minorHAnsi"/>
          <w:sz w:val="24"/>
          <w:szCs w:val="24"/>
        </w:rPr>
        <w:t>ypadku przemieszczania towarów</w:t>
      </w:r>
      <w:r w:rsidR="00BE7466">
        <w:rPr>
          <w:rFonts w:asciiTheme="minorHAnsi" w:hAnsiTheme="minorHAnsi"/>
          <w:sz w:val="24"/>
          <w:szCs w:val="24"/>
        </w:rPr>
        <w:t xml:space="preserve"> z pań</w:t>
      </w:r>
      <w:r>
        <w:rPr>
          <w:rFonts w:asciiTheme="minorHAnsi" w:hAnsiTheme="minorHAnsi"/>
          <w:sz w:val="24"/>
          <w:szCs w:val="24"/>
        </w:rPr>
        <w:t>stw trzecich i do tych państw. Kontrole te będą prawdopodobnie prowadziły do większego obciążenia administracyjnego przedsiębiorstw oraz wydłużonego czasu dostawy</w:t>
      </w:r>
      <w:r w:rsidR="00BE7466">
        <w:rPr>
          <w:rFonts w:asciiTheme="minorHAnsi" w:hAnsiTheme="minorHAnsi"/>
          <w:sz w:val="24"/>
          <w:szCs w:val="24"/>
        </w:rPr>
        <w:t xml:space="preserve"> w log</w:t>
      </w:r>
      <w:r>
        <w:rPr>
          <w:rFonts w:asciiTheme="minorHAnsi" w:hAnsiTheme="minorHAnsi"/>
          <w:sz w:val="24"/>
          <w:szCs w:val="24"/>
        </w:rPr>
        <w:t>istycznych łańcuchach dostaw.</w:t>
      </w:r>
    </w:p>
    <w:p w:rsidR="005B5E63" w:rsidRDefault="00B858F1">
      <w:pPr>
        <w:jc w:val="both"/>
        <w:rPr>
          <w:rFonts w:asciiTheme="minorHAnsi" w:hAnsiTheme="minorHAnsi" w:cstheme="minorHAnsi"/>
          <w:sz w:val="24"/>
          <w:szCs w:val="24"/>
        </w:rPr>
      </w:pPr>
      <w:r>
        <w:rPr>
          <w:rFonts w:asciiTheme="minorHAnsi" w:hAnsiTheme="minorHAnsi"/>
          <w:sz w:val="24"/>
          <w:szCs w:val="24"/>
        </w:rPr>
        <w:t>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aby dopełnić formalności celnych, przedsiębiorstwa UE zamierzające prowadzić przywóz ze Zjednoczonego Królestwa lub wywóz do Zjednoczonego Królestwa będą musiały posiadać numer rejestracyjny</w:t>
      </w:r>
      <w:r w:rsidR="00BE7466">
        <w:rPr>
          <w:rFonts w:asciiTheme="minorHAnsi" w:hAnsiTheme="minorHAnsi"/>
          <w:sz w:val="24"/>
          <w:szCs w:val="24"/>
        </w:rPr>
        <w:t xml:space="preserve"> i ide</w:t>
      </w:r>
      <w:r>
        <w:rPr>
          <w:rFonts w:asciiTheme="minorHAnsi" w:hAnsiTheme="minorHAnsi"/>
          <w:sz w:val="24"/>
          <w:szCs w:val="24"/>
        </w:rPr>
        <w:t>ntyfikacyjny przedsiębiorcy (EORI)</w:t>
      </w:r>
      <w:r>
        <w:rPr>
          <w:rStyle w:val="Odwoanieprzypisudolnego"/>
          <w:rFonts w:asciiTheme="minorHAnsi" w:hAnsiTheme="minorHAnsi" w:cstheme="minorHAnsi"/>
          <w:sz w:val="24"/>
          <w:szCs w:val="24"/>
        </w:rPr>
        <w:footnoteReference w:id="11"/>
      </w:r>
      <w:r>
        <w:rPr>
          <w:rFonts w:asciiTheme="minorHAnsi" w:hAnsiTheme="minorHAnsi"/>
          <w:sz w:val="24"/>
          <w:szCs w:val="24"/>
        </w:rPr>
        <w:t>. Ponadto numery EORI wydane przez Zjednoczone Królestwo nie będą już ważne</w:t>
      </w:r>
      <w:r w:rsidR="00BE7466">
        <w:rPr>
          <w:rFonts w:asciiTheme="minorHAnsi" w:hAnsiTheme="minorHAnsi"/>
          <w:sz w:val="24"/>
          <w:szCs w:val="24"/>
        </w:rPr>
        <w:t xml:space="preserve"> w Uni</w:t>
      </w:r>
      <w:r>
        <w:rPr>
          <w:rFonts w:asciiTheme="minorHAnsi" w:hAnsiTheme="minorHAnsi"/>
          <w:sz w:val="24"/>
          <w:szCs w:val="24"/>
        </w:rPr>
        <w:t>i. Przedsiębiorstwa mające swoją siedzibę</w:t>
      </w:r>
      <w:r w:rsidR="00BE7466">
        <w:rPr>
          <w:rFonts w:asciiTheme="minorHAnsi" w:hAnsiTheme="minorHAnsi"/>
          <w:sz w:val="24"/>
          <w:szCs w:val="24"/>
        </w:rPr>
        <w:t xml:space="preserve"> w Zje</w:t>
      </w:r>
      <w:r>
        <w:rPr>
          <w:rFonts w:asciiTheme="minorHAnsi" w:hAnsiTheme="minorHAnsi"/>
          <w:sz w:val="24"/>
          <w:szCs w:val="24"/>
        </w:rPr>
        <w:t>dnoczonym Królestwie</w:t>
      </w:r>
      <w:r w:rsidR="00BE7466">
        <w:rPr>
          <w:rFonts w:asciiTheme="minorHAnsi" w:hAnsiTheme="minorHAnsi"/>
          <w:sz w:val="24"/>
          <w:szCs w:val="24"/>
        </w:rPr>
        <w:t xml:space="preserve"> i zam</w:t>
      </w:r>
      <w:r>
        <w:rPr>
          <w:rFonts w:asciiTheme="minorHAnsi" w:hAnsiTheme="minorHAnsi"/>
          <w:sz w:val="24"/>
          <w:szCs w:val="24"/>
        </w:rPr>
        <w:t>ierzające prowadzić przywóz do Unii będą musiały uzyskać unijny numer EORI lub</w:t>
      </w:r>
      <w:r w:rsidR="00BE7466">
        <w:rPr>
          <w:rFonts w:asciiTheme="minorHAnsi" w:hAnsiTheme="minorHAnsi"/>
          <w:sz w:val="24"/>
          <w:szCs w:val="24"/>
        </w:rPr>
        <w:t xml:space="preserve"> w sto</w:t>
      </w:r>
      <w:r>
        <w:rPr>
          <w:rFonts w:asciiTheme="minorHAnsi" w:hAnsiTheme="minorHAnsi"/>
          <w:sz w:val="24"/>
          <w:szCs w:val="24"/>
        </w:rPr>
        <w:t>sownych przypadkach wyznaczyć unijnego przedstawiciela celnego. Ponadto 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sidR="00BE7466">
        <w:rPr>
          <w:rFonts w:asciiTheme="minorHAnsi" w:hAnsiTheme="minorHAnsi"/>
          <w:sz w:val="24"/>
          <w:szCs w:val="24"/>
        </w:rPr>
        <w:t xml:space="preserve"> w Uni</w:t>
      </w:r>
      <w:r>
        <w:rPr>
          <w:rFonts w:asciiTheme="minorHAnsi" w:hAnsiTheme="minorHAnsi"/>
          <w:sz w:val="24"/>
          <w:szCs w:val="24"/>
        </w:rPr>
        <w:t>i nie będą już ważne pozwolenia dla upoważnionych przedsiębiorców</w:t>
      </w:r>
      <w:r>
        <w:t xml:space="preserve"> </w:t>
      </w:r>
      <w:r>
        <w:rPr>
          <w:rFonts w:asciiTheme="minorHAnsi" w:hAnsiTheme="minorHAnsi"/>
          <w:sz w:val="24"/>
          <w:szCs w:val="24"/>
        </w:rPr>
        <w:t>ani inne pozwolenia wydane przez Zjednoczone Królestwo</w:t>
      </w:r>
      <w:r w:rsidR="00BE7466">
        <w:rPr>
          <w:rFonts w:asciiTheme="minorHAnsi" w:hAnsiTheme="minorHAnsi"/>
          <w:sz w:val="24"/>
          <w:szCs w:val="24"/>
        </w:rPr>
        <w:t>.</w:t>
      </w:r>
      <w:r w:rsidR="00BE7466">
        <w:t xml:space="preserve"> </w:t>
      </w:r>
      <w:r w:rsidR="00BE7466">
        <w:rPr>
          <w:rFonts w:asciiTheme="minorHAnsi" w:hAnsiTheme="minorHAnsi"/>
          <w:sz w:val="24"/>
          <w:szCs w:val="24"/>
        </w:rPr>
        <w:t>W prz</w:t>
      </w:r>
      <w:r>
        <w:rPr>
          <w:rFonts w:asciiTheme="minorHAnsi" w:hAnsiTheme="minorHAnsi"/>
          <w:sz w:val="24"/>
          <w:szCs w:val="24"/>
        </w:rPr>
        <w:t>ypadku gdy podmioty gospodarcze chcą uzyskać unijne zezwolenie, muszą ubiegać się</w:t>
      </w:r>
      <w:r w:rsidR="00BE7466">
        <w:rPr>
          <w:rFonts w:asciiTheme="minorHAnsi" w:hAnsiTheme="minorHAnsi"/>
          <w:sz w:val="24"/>
          <w:szCs w:val="24"/>
        </w:rPr>
        <w:t xml:space="preserve"> o nie w pań</w:t>
      </w:r>
      <w:r>
        <w:rPr>
          <w:rFonts w:asciiTheme="minorHAnsi" w:hAnsiTheme="minorHAnsi"/>
          <w:sz w:val="24"/>
          <w:szCs w:val="24"/>
        </w:rPr>
        <w:t>stwie członkowskim UE.</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 UE muszą zapoznać się</w:t>
      </w:r>
      <w:r w:rsidR="00BE7466">
        <w:rPr>
          <w:rFonts w:asciiTheme="minorHAnsi" w:hAnsiTheme="minorHAnsi"/>
          <w:sz w:val="24"/>
          <w:szCs w:val="24"/>
        </w:rPr>
        <w:t xml:space="preserve"> z for</w:t>
      </w:r>
      <w:r>
        <w:rPr>
          <w:rFonts w:asciiTheme="minorHAnsi" w:hAnsiTheme="minorHAnsi"/>
          <w:sz w:val="24"/>
          <w:szCs w:val="24"/>
        </w:rPr>
        <w:t>malnościami</w:t>
      </w:r>
      <w:r w:rsidR="00BE7466">
        <w:rPr>
          <w:rFonts w:asciiTheme="minorHAnsi" w:hAnsiTheme="minorHAnsi"/>
          <w:sz w:val="24"/>
          <w:szCs w:val="24"/>
        </w:rPr>
        <w:t xml:space="preserve"> i pro</w:t>
      </w:r>
      <w:r>
        <w:rPr>
          <w:rFonts w:asciiTheme="minorHAnsi" w:hAnsiTheme="minorHAnsi"/>
          <w:sz w:val="24"/>
          <w:szCs w:val="24"/>
        </w:rPr>
        <w:t>cedurami dotyczącymi prowadzenia interesów ze Zjednoczonym Królestwem jako państwem trzecim 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Powinny także uwzględnić większe wymogi administracyjne</w:t>
      </w:r>
      <w:r w:rsidR="00BE7466">
        <w:rPr>
          <w:rFonts w:asciiTheme="minorHAnsi" w:hAnsiTheme="minorHAnsi"/>
          <w:sz w:val="24"/>
          <w:szCs w:val="24"/>
        </w:rPr>
        <w:t xml:space="preserve"> i pot</w:t>
      </w:r>
      <w:r>
        <w:rPr>
          <w:rFonts w:asciiTheme="minorHAnsi" w:hAnsiTheme="minorHAnsi"/>
          <w:sz w:val="24"/>
          <w:szCs w:val="24"/>
        </w:rPr>
        <w:t>encjalnie dłuższe ramy czasowe wynikające</w:t>
      </w:r>
      <w:r w:rsidR="00BE7466">
        <w:rPr>
          <w:rFonts w:asciiTheme="minorHAnsi" w:hAnsiTheme="minorHAnsi"/>
          <w:sz w:val="24"/>
          <w:szCs w:val="24"/>
        </w:rPr>
        <w:t xml:space="preserve"> z tyc</w:t>
      </w:r>
      <w:r>
        <w:rPr>
          <w:rFonts w:asciiTheme="minorHAnsi" w:hAnsiTheme="minorHAnsi"/>
          <w:sz w:val="24"/>
          <w:szCs w:val="24"/>
        </w:rPr>
        <w:t>h formalności</w:t>
      </w:r>
      <w:r w:rsidR="00BE7466">
        <w:rPr>
          <w:rFonts w:asciiTheme="minorHAnsi" w:hAnsiTheme="minorHAnsi"/>
          <w:sz w:val="24"/>
          <w:szCs w:val="24"/>
        </w:rPr>
        <w:t xml:space="preserve"> i pro</w:t>
      </w:r>
      <w:r>
        <w:rPr>
          <w:rFonts w:asciiTheme="minorHAnsi" w:hAnsiTheme="minorHAnsi"/>
          <w:sz w:val="24"/>
          <w:szCs w:val="24"/>
        </w:rPr>
        <w:t>cedur. Może to oznaczać znaczące zmiany</w:t>
      </w:r>
      <w:r w:rsidR="00BE7466">
        <w:rPr>
          <w:rFonts w:asciiTheme="minorHAnsi" w:hAnsiTheme="minorHAnsi"/>
          <w:sz w:val="24"/>
          <w:szCs w:val="24"/>
        </w:rPr>
        <w:t xml:space="preserve"> w org</w:t>
      </w:r>
      <w:r>
        <w:rPr>
          <w:rFonts w:asciiTheme="minorHAnsi" w:hAnsiTheme="minorHAnsi"/>
          <w:sz w:val="24"/>
          <w:szCs w:val="24"/>
        </w:rPr>
        <w:t>anizacji istniejących łańcuchów dostaw. Przedsiębiorstwa są odpowiedzialne za ocenę działań koniecznych</w:t>
      </w:r>
      <w:r w:rsidR="00BE7466">
        <w:rPr>
          <w:rFonts w:asciiTheme="minorHAnsi" w:hAnsiTheme="minorHAnsi"/>
          <w:sz w:val="24"/>
          <w:szCs w:val="24"/>
        </w:rPr>
        <w:t xml:space="preserve"> w kon</w:t>
      </w:r>
      <w:r>
        <w:rPr>
          <w:rFonts w:asciiTheme="minorHAnsi" w:hAnsiTheme="minorHAnsi"/>
          <w:sz w:val="24"/>
          <w:szCs w:val="24"/>
        </w:rPr>
        <w:t>tekście tych zmian</w:t>
      </w:r>
      <w:r w:rsidR="00BE7466">
        <w:rPr>
          <w:rFonts w:asciiTheme="minorHAnsi" w:hAnsiTheme="minorHAnsi"/>
          <w:sz w:val="24"/>
          <w:szCs w:val="24"/>
        </w:rPr>
        <w:t xml:space="preserve"> w świ</w:t>
      </w:r>
      <w:r>
        <w:rPr>
          <w:rFonts w:asciiTheme="minorHAnsi" w:hAnsiTheme="minorHAnsi"/>
          <w:sz w:val="24"/>
          <w:szCs w:val="24"/>
        </w:rPr>
        <w:t>etle ich indywidualnej sytuacji.</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Administracje państw członkowskich UE przygotowały główne przejścia graniczne</w:t>
      </w:r>
      <w:r w:rsidR="00BE7466">
        <w:rPr>
          <w:rFonts w:asciiTheme="minorHAnsi" w:hAnsiTheme="minorHAnsi"/>
          <w:sz w:val="24"/>
          <w:szCs w:val="24"/>
        </w:rPr>
        <w:t xml:space="preserve"> i opr</w:t>
      </w:r>
      <w:r>
        <w:rPr>
          <w:rFonts w:asciiTheme="minorHAnsi" w:hAnsiTheme="minorHAnsi"/>
          <w:sz w:val="24"/>
          <w:szCs w:val="24"/>
        </w:rPr>
        <w:t>acowały rozwiązania</w:t>
      </w:r>
      <w:r w:rsidR="00BE7466">
        <w:rPr>
          <w:rFonts w:asciiTheme="minorHAnsi" w:hAnsiTheme="minorHAnsi"/>
          <w:sz w:val="24"/>
          <w:szCs w:val="24"/>
        </w:rPr>
        <w:t xml:space="preserve"> w cel</w:t>
      </w:r>
      <w:r>
        <w:rPr>
          <w:rFonts w:asciiTheme="minorHAnsi" w:hAnsiTheme="minorHAnsi"/>
          <w:sz w:val="24"/>
          <w:szCs w:val="24"/>
        </w:rPr>
        <w:t>u zapewnienia stosowania unijnego kodeksu celnego</w:t>
      </w:r>
      <w:r w:rsidR="00BE7466">
        <w:rPr>
          <w:rFonts w:asciiTheme="minorHAnsi" w:hAnsiTheme="minorHAnsi"/>
          <w:sz w:val="24"/>
          <w:szCs w:val="24"/>
        </w:rPr>
        <w:t xml:space="preserve"> w tym</w:t>
      </w:r>
      <w:r>
        <w:rPr>
          <w:rFonts w:asciiTheme="minorHAnsi" w:hAnsiTheme="minorHAnsi"/>
          <w:sz w:val="24"/>
          <w:szCs w:val="24"/>
        </w:rPr>
        <w:t xml:space="preserve"> kontekście</w:t>
      </w:r>
      <w:r w:rsidR="00BE7466">
        <w:rPr>
          <w:rFonts w:asciiTheme="minorHAnsi" w:hAnsiTheme="minorHAnsi"/>
          <w:sz w:val="24"/>
          <w:szCs w:val="24"/>
        </w:rPr>
        <w:t>. W sto</w:t>
      </w:r>
      <w:r>
        <w:rPr>
          <w:rFonts w:asciiTheme="minorHAnsi" w:hAnsiTheme="minorHAnsi"/>
          <w:sz w:val="24"/>
          <w:szCs w:val="24"/>
        </w:rPr>
        <w:t>sownych przypadkach powinny</w:t>
      </w:r>
      <w:r w:rsidR="00BE7466">
        <w:rPr>
          <w:rFonts w:asciiTheme="minorHAnsi" w:hAnsiTheme="minorHAnsi"/>
          <w:sz w:val="24"/>
          <w:szCs w:val="24"/>
        </w:rPr>
        <w:t xml:space="preserve"> w dal</w:t>
      </w:r>
      <w:r>
        <w:rPr>
          <w:rFonts w:asciiTheme="minorHAnsi" w:hAnsiTheme="minorHAnsi"/>
          <w:sz w:val="24"/>
          <w:szCs w:val="24"/>
        </w:rPr>
        <w:t>szym ciągu wdrażać</w:t>
      </w:r>
      <w:r w:rsidR="00BE7466">
        <w:rPr>
          <w:rFonts w:asciiTheme="minorHAnsi" w:hAnsiTheme="minorHAnsi"/>
          <w:sz w:val="24"/>
          <w:szCs w:val="24"/>
        </w:rPr>
        <w:t xml:space="preserve"> i udo</w:t>
      </w:r>
      <w:r>
        <w:rPr>
          <w:rFonts w:asciiTheme="minorHAnsi" w:hAnsiTheme="minorHAnsi"/>
          <w:sz w:val="24"/>
          <w:szCs w:val="24"/>
        </w:rPr>
        <w:t>skonalać te możliwości oraz kontynuować działania mające na celu zwiększenie świadomości wśród przedsiębiorstw, ukierunkowując wspomniane działania</w:t>
      </w:r>
      <w:r w:rsidR="00BE7466">
        <w:rPr>
          <w:rFonts w:asciiTheme="minorHAnsi" w:hAnsiTheme="minorHAnsi"/>
          <w:sz w:val="24"/>
          <w:szCs w:val="24"/>
        </w:rPr>
        <w:t xml:space="preserve"> w szc</w:t>
      </w:r>
      <w:r>
        <w:rPr>
          <w:rFonts w:asciiTheme="minorHAnsi" w:hAnsiTheme="minorHAnsi"/>
          <w:sz w:val="24"/>
          <w:szCs w:val="24"/>
        </w:rPr>
        <w:t>zególności na małe</w:t>
      </w:r>
      <w:r w:rsidR="00BE7466">
        <w:rPr>
          <w:rFonts w:asciiTheme="minorHAnsi" w:hAnsiTheme="minorHAnsi"/>
          <w:sz w:val="24"/>
          <w:szCs w:val="24"/>
        </w:rPr>
        <w:t xml:space="preserve"> i śre</w:t>
      </w:r>
      <w:r>
        <w:rPr>
          <w:rFonts w:asciiTheme="minorHAnsi" w:hAnsiTheme="minorHAnsi"/>
          <w:sz w:val="24"/>
          <w:szCs w:val="24"/>
        </w:rPr>
        <w:t>dnie przedsiębiorstwa (MŚP)</w:t>
      </w:r>
      <w:r>
        <w:rPr>
          <w:rStyle w:val="Odwoanieprzypisudolnego"/>
          <w:rFonts w:asciiTheme="minorHAnsi" w:hAnsiTheme="minorHAnsi" w:cstheme="minorHAnsi"/>
          <w:sz w:val="24"/>
          <w:szCs w:val="24"/>
        </w:rPr>
        <w:footnoteReference w:id="12"/>
      </w:r>
      <w:r>
        <w:rPr>
          <w:rFonts w:asciiTheme="minorHAnsi" w:hAnsiTheme="minorHAnsi"/>
          <w:sz w:val="24"/>
          <w:szCs w:val="24"/>
        </w:rPr>
        <w:t>.</w:t>
      </w:r>
    </w:p>
    <w:p w:rsidR="005B5E63" w:rsidRDefault="00B858F1">
      <w:pPr>
        <w:pStyle w:val="Nagwek3"/>
      </w:pPr>
      <w:bookmarkStart w:id="6" w:name="_Toc46136999"/>
      <w:r>
        <w:lastRenderedPageBreak/>
        <w:t>A.2. Przepisy prawa celnego</w:t>
      </w:r>
      <w:r w:rsidR="00BE7466">
        <w:t xml:space="preserve"> i prz</w:t>
      </w:r>
      <w:r>
        <w:t>episy podatkowe dotyczące przywozu</w:t>
      </w:r>
      <w:r w:rsidR="00BE7466">
        <w:t xml:space="preserve"> i wyw</w:t>
      </w:r>
      <w:r>
        <w:t>ozu towarów (taryfy, VAT, akcyza)</w:t>
      </w:r>
      <w:bookmarkEnd w:id="6"/>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uni</w:t>
      </w:r>
      <w:r>
        <w:rPr>
          <w:rFonts w:asciiTheme="minorHAnsi" w:hAnsiTheme="minorHAnsi"/>
          <w:sz w:val="24"/>
          <w:szCs w:val="24"/>
        </w:rPr>
        <w:t>i celnej UE oraz jest częścią obszaru UE, jeżeli chodzi</w:t>
      </w:r>
      <w:r w:rsidR="00BE7466">
        <w:rPr>
          <w:rFonts w:asciiTheme="minorHAnsi" w:hAnsiTheme="minorHAnsi"/>
          <w:sz w:val="24"/>
          <w:szCs w:val="24"/>
        </w:rPr>
        <w:t xml:space="preserve"> o pod</w:t>
      </w:r>
      <w:r>
        <w:rPr>
          <w:rFonts w:asciiTheme="minorHAnsi" w:hAnsiTheme="minorHAnsi"/>
          <w:sz w:val="24"/>
          <w:szCs w:val="24"/>
        </w:rPr>
        <w:t>atek VAT</w:t>
      </w:r>
      <w:r w:rsidR="00BE7466">
        <w:rPr>
          <w:rFonts w:asciiTheme="minorHAnsi" w:hAnsiTheme="minorHAnsi"/>
          <w:sz w:val="24"/>
          <w:szCs w:val="24"/>
        </w:rPr>
        <w:t xml:space="preserve"> i akc</w:t>
      </w:r>
      <w:r>
        <w:rPr>
          <w:rFonts w:asciiTheme="minorHAnsi" w:hAnsiTheme="minorHAnsi"/>
          <w:sz w:val="24"/>
          <w:szCs w:val="24"/>
        </w:rPr>
        <w:t xml:space="preserve">yzę. </w:t>
      </w:r>
    </w:p>
    <w:p w:rsidR="005B5E63" w:rsidRDefault="00B858F1">
      <w:pPr>
        <w:jc w:val="both"/>
        <w:rPr>
          <w:rFonts w:asciiTheme="minorHAnsi" w:hAnsiTheme="minorHAnsi" w:cstheme="minorHAnsi"/>
          <w:sz w:val="24"/>
          <w:szCs w:val="24"/>
        </w:rPr>
      </w:pPr>
      <w:r>
        <w:rPr>
          <w:rFonts w:asciiTheme="minorHAnsi" w:hAnsiTheme="minorHAnsi"/>
          <w:sz w:val="24"/>
          <w:szCs w:val="24"/>
        </w:rPr>
        <w:t>W związku</w:t>
      </w:r>
      <w:r w:rsidR="00BE7466">
        <w:rPr>
          <w:rFonts w:asciiTheme="minorHAnsi" w:hAnsiTheme="minorHAnsi"/>
          <w:sz w:val="24"/>
          <w:szCs w:val="24"/>
        </w:rPr>
        <w:t xml:space="preserve"> z tym w odn</w:t>
      </w:r>
      <w:r>
        <w:rPr>
          <w:rFonts w:asciiTheme="minorHAnsi" w:hAnsiTheme="minorHAnsi"/>
          <w:sz w:val="24"/>
          <w:szCs w:val="24"/>
        </w:rPr>
        <w:t>iesieniu do towarów będących przedmiotem wymiany handlowej między Unią Europejską</w:t>
      </w:r>
      <w:r w:rsidR="00BE7466">
        <w:rPr>
          <w:rFonts w:asciiTheme="minorHAnsi" w:hAnsiTheme="minorHAnsi"/>
          <w:sz w:val="24"/>
          <w:szCs w:val="24"/>
        </w:rPr>
        <w:t xml:space="preserve"> a Z</w:t>
      </w:r>
      <w:r w:rsidR="00BE7466">
        <w:rPr>
          <w:rFonts w:asciiTheme="minorHAnsi" w:hAnsiTheme="minorHAnsi"/>
          <w:sz w:val="24"/>
        </w:rPr>
        <w:t>je</w:t>
      </w:r>
      <w:r>
        <w:rPr>
          <w:rFonts w:asciiTheme="minorHAnsi" w:hAnsiTheme="minorHAnsi"/>
          <w:sz w:val="24"/>
        </w:rPr>
        <w:t>dnoczonym Królestwem</w:t>
      </w:r>
      <w:r>
        <w:rPr>
          <w:rFonts w:asciiTheme="minorHAnsi" w:hAnsiTheme="minorHAnsi"/>
          <w:sz w:val="24"/>
          <w:szCs w:val="24"/>
        </w:rPr>
        <w:t xml:space="preserve"> nie stosuje się żadnych taryf ani kontyngentów oraz nie ma konieczności wykazywania pochodzenia takich towarów. </w:t>
      </w:r>
    </w:p>
    <w:p w:rsidR="005B5E63" w:rsidRDefault="00B858F1">
      <w:pPr>
        <w:jc w:val="both"/>
        <w:rPr>
          <w:rFonts w:asciiTheme="minorHAnsi" w:hAnsiTheme="minorHAnsi" w:cstheme="minorHAnsi"/>
          <w:sz w:val="24"/>
          <w:szCs w:val="24"/>
        </w:rPr>
      </w:pPr>
      <w:r>
        <w:rPr>
          <w:rFonts w:asciiTheme="minorHAnsi" w:hAnsiTheme="minorHAnsi"/>
          <w:sz w:val="24"/>
          <w:szCs w:val="24"/>
        </w:rPr>
        <w:t>Ponadto</w:t>
      </w:r>
      <w:r w:rsidR="00BE7466">
        <w:rPr>
          <w:rFonts w:asciiTheme="minorHAnsi" w:hAnsiTheme="minorHAnsi"/>
          <w:sz w:val="24"/>
          <w:szCs w:val="24"/>
        </w:rPr>
        <w:t xml:space="preserve"> w odn</w:t>
      </w:r>
      <w:r>
        <w:rPr>
          <w:rFonts w:asciiTheme="minorHAnsi" w:hAnsiTheme="minorHAnsi"/>
          <w:sz w:val="24"/>
          <w:szCs w:val="24"/>
        </w:rPr>
        <w:t>iesieniu do podatków (VAT, podatki akcyzowe) stosuje się system obowiązujący</w:t>
      </w:r>
      <w:r w:rsidR="00BE7466">
        <w:rPr>
          <w:rFonts w:asciiTheme="minorHAnsi" w:hAnsiTheme="minorHAnsi"/>
          <w:sz w:val="24"/>
          <w:szCs w:val="24"/>
        </w:rPr>
        <w:t xml:space="preserve"> w han</w:t>
      </w:r>
      <w:r>
        <w:rPr>
          <w:rFonts w:asciiTheme="minorHAnsi" w:hAnsiTheme="minorHAnsi"/>
          <w:sz w:val="24"/>
          <w:szCs w:val="24"/>
        </w:rPr>
        <w:t>dlu wewnątrzunijnym, co oznacza, że na granicy między Z</w:t>
      </w:r>
      <w:r>
        <w:rPr>
          <w:rFonts w:asciiTheme="minorHAnsi" w:hAnsiTheme="minorHAnsi"/>
          <w:sz w:val="24"/>
        </w:rPr>
        <w:t>jednoczonym Królestwem</w:t>
      </w:r>
      <w:r w:rsidR="00BE7466">
        <w:rPr>
          <w:rFonts w:asciiTheme="minorHAnsi" w:hAnsiTheme="minorHAnsi"/>
          <w:sz w:val="24"/>
        </w:rPr>
        <w:t xml:space="preserve"> </w:t>
      </w:r>
      <w:r w:rsidR="00BE7466">
        <w:rPr>
          <w:rFonts w:asciiTheme="minorHAnsi" w:hAnsiTheme="minorHAnsi"/>
          <w:sz w:val="24"/>
          <w:szCs w:val="24"/>
        </w:rPr>
        <w:t>a</w:t>
      </w:r>
      <w:r w:rsidR="00BE7466">
        <w:rPr>
          <w:rFonts w:asciiTheme="minorHAnsi" w:hAnsiTheme="minorHAnsi"/>
          <w:sz w:val="24"/>
        </w:rPr>
        <w:t> </w:t>
      </w:r>
      <w:r w:rsidR="00BE7466">
        <w:rPr>
          <w:rFonts w:asciiTheme="minorHAnsi" w:hAnsiTheme="minorHAnsi"/>
          <w:sz w:val="24"/>
          <w:szCs w:val="24"/>
        </w:rPr>
        <w:t>Uni</w:t>
      </w:r>
      <w:r>
        <w:rPr>
          <w:rFonts w:asciiTheme="minorHAnsi" w:hAnsiTheme="minorHAnsi"/>
          <w:sz w:val="24"/>
          <w:szCs w:val="24"/>
        </w:rPr>
        <w:t>ą nie ma konieczności prowadzenia stosownych kontroli.</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aby towary będące przedmiotem wymiany handlowej mogły być traktowane preferencyjnie na mocy ewentualnej przyszłej umowy między UE</w:t>
      </w:r>
      <w:r w:rsidR="00BE7466">
        <w:rPr>
          <w:rFonts w:asciiTheme="minorHAnsi" w:hAnsiTheme="minorHAnsi"/>
          <w:sz w:val="24"/>
          <w:szCs w:val="24"/>
        </w:rPr>
        <w:t xml:space="preserve"> a Zje</w:t>
      </w:r>
      <w:r>
        <w:rPr>
          <w:rFonts w:asciiTheme="minorHAnsi" w:hAnsiTheme="minorHAnsi"/>
          <w:sz w:val="24"/>
          <w:szCs w:val="24"/>
        </w:rPr>
        <w:t>dnoczonym Królestwem, będzie konieczne wykazanie ich pochodzenia. Towary niespełniające wymogów dotyczących pochodzenia będą objęte należnościami celnymi, nawet jeśli wejdzie</w:t>
      </w:r>
      <w:r w:rsidR="00BE7466">
        <w:rPr>
          <w:rFonts w:asciiTheme="minorHAnsi" w:hAnsiTheme="minorHAnsi"/>
          <w:sz w:val="24"/>
          <w:szCs w:val="24"/>
        </w:rPr>
        <w:t xml:space="preserve"> w życ</w:t>
      </w:r>
      <w:r>
        <w:rPr>
          <w:rFonts w:asciiTheme="minorHAnsi" w:hAnsiTheme="minorHAnsi"/>
          <w:sz w:val="24"/>
          <w:szCs w:val="24"/>
        </w:rPr>
        <w:t>ie umowa handlowa</w:t>
      </w:r>
      <w:r w:rsidR="00BE7466">
        <w:rPr>
          <w:rFonts w:asciiTheme="minorHAnsi" w:hAnsiTheme="minorHAnsi"/>
          <w:sz w:val="24"/>
          <w:szCs w:val="24"/>
        </w:rPr>
        <w:t xml:space="preserve"> o zer</w:t>
      </w:r>
      <w:r>
        <w:rPr>
          <w:rFonts w:asciiTheme="minorHAnsi" w:hAnsiTheme="minorHAnsi"/>
          <w:sz w:val="24"/>
          <w:szCs w:val="24"/>
        </w:rPr>
        <w:t>owej stawce celnej</w:t>
      </w:r>
      <w:r w:rsidR="00BE7466">
        <w:rPr>
          <w:rFonts w:asciiTheme="minorHAnsi" w:hAnsiTheme="minorHAnsi"/>
          <w:sz w:val="24"/>
          <w:szCs w:val="24"/>
        </w:rPr>
        <w:t xml:space="preserve"> i zer</w:t>
      </w:r>
      <w:r>
        <w:rPr>
          <w:rFonts w:asciiTheme="minorHAnsi" w:hAnsiTheme="minorHAnsi"/>
          <w:sz w:val="24"/>
          <w:szCs w:val="24"/>
        </w:rPr>
        <w:t>owych kontyngentach między UE</w:t>
      </w:r>
      <w:r w:rsidR="00BE7466">
        <w:rPr>
          <w:rFonts w:asciiTheme="minorHAnsi" w:hAnsiTheme="minorHAnsi"/>
          <w:sz w:val="24"/>
          <w:szCs w:val="24"/>
        </w:rPr>
        <w:t xml:space="preserve"> a Zje</w:t>
      </w:r>
      <w:r>
        <w:rPr>
          <w:rFonts w:asciiTheme="minorHAnsi" w:hAnsiTheme="minorHAnsi"/>
          <w:sz w:val="24"/>
          <w:szCs w:val="24"/>
        </w:rPr>
        <w:t>dnoczonym Królestwem. Skutki będą widoczne także</w:t>
      </w:r>
      <w:r w:rsidR="00BE7466">
        <w:rPr>
          <w:rFonts w:asciiTheme="minorHAnsi" w:hAnsiTheme="minorHAnsi"/>
          <w:sz w:val="24"/>
          <w:szCs w:val="24"/>
        </w:rPr>
        <w:t xml:space="preserve"> w han</w:t>
      </w:r>
      <w:r>
        <w:rPr>
          <w:rFonts w:asciiTheme="minorHAnsi" w:hAnsiTheme="minorHAnsi"/>
          <w:sz w:val="24"/>
          <w:szCs w:val="24"/>
        </w:rPr>
        <w:t>dlu między UE</w:t>
      </w:r>
      <w:r w:rsidR="00BE7466">
        <w:rPr>
          <w:rFonts w:asciiTheme="minorHAnsi" w:hAnsiTheme="minorHAnsi"/>
          <w:sz w:val="24"/>
          <w:szCs w:val="24"/>
        </w:rPr>
        <w:t xml:space="preserve"> a upr</w:t>
      </w:r>
      <w:r>
        <w:rPr>
          <w:rFonts w:asciiTheme="minorHAnsi" w:hAnsiTheme="minorHAnsi"/>
          <w:sz w:val="24"/>
          <w:szCs w:val="24"/>
        </w:rPr>
        <w:t>zywilejowanymi partnerami, gdyż elementy pochodzące ze Zjednoczonego Królestwa (zarówno jeżeli chodzi</w:t>
      </w:r>
      <w:r w:rsidR="00BE7466">
        <w:rPr>
          <w:rFonts w:asciiTheme="minorHAnsi" w:hAnsiTheme="minorHAnsi"/>
          <w:sz w:val="24"/>
          <w:szCs w:val="24"/>
        </w:rPr>
        <w:t xml:space="preserve"> o mat</w:t>
      </w:r>
      <w:r>
        <w:rPr>
          <w:rFonts w:asciiTheme="minorHAnsi" w:hAnsiTheme="minorHAnsi"/>
          <w:sz w:val="24"/>
          <w:szCs w:val="24"/>
        </w:rPr>
        <w:t>eriały, jak</w:t>
      </w:r>
      <w:r w:rsidR="00BE7466">
        <w:rPr>
          <w:rFonts w:asciiTheme="minorHAnsi" w:hAnsiTheme="minorHAnsi"/>
          <w:sz w:val="24"/>
          <w:szCs w:val="24"/>
        </w:rPr>
        <w:t xml:space="preserve"> i pro</w:t>
      </w:r>
      <w:r>
        <w:rPr>
          <w:rFonts w:asciiTheme="minorHAnsi" w:hAnsiTheme="minorHAnsi"/>
          <w:sz w:val="24"/>
          <w:szCs w:val="24"/>
        </w:rPr>
        <w:t>cesy przetwarzania) staną się „niepochodzące” na podstawie unijnych uzgodnień preferencyjnych dotyczących określania preferencyjnego pochodzenia towarów, które zawierają takie elementy ze Zjednoczonego Królestwa</w:t>
      </w:r>
      <w:r w:rsidR="00BE7466">
        <w:rPr>
          <w:rFonts w:asciiTheme="minorHAnsi" w:hAnsiTheme="minorHAnsi"/>
          <w:sz w:val="24"/>
          <w:szCs w:val="24"/>
        </w:rPr>
        <w:t>. W pra</w:t>
      </w:r>
      <w:r>
        <w:rPr>
          <w:rFonts w:asciiTheme="minorHAnsi" w:hAnsiTheme="minorHAnsi"/>
          <w:sz w:val="24"/>
          <w:szCs w:val="24"/>
        </w:rPr>
        <w:t>ktyce obejmuje to konieczność ponownej oceny łańcuchów dostaw przez eksporterów z UE. Mogą oni być zmuszeni do zmiany miejsca produkcji lub dostawców niektórych materiałów, aby</w:t>
      </w:r>
      <w:r w:rsidR="00BE7466">
        <w:rPr>
          <w:rFonts w:asciiTheme="minorHAnsi" w:hAnsiTheme="minorHAnsi"/>
          <w:sz w:val="24"/>
          <w:szCs w:val="24"/>
        </w:rPr>
        <w:t xml:space="preserve"> w dal</w:t>
      </w:r>
      <w:r>
        <w:rPr>
          <w:rFonts w:asciiTheme="minorHAnsi" w:hAnsiTheme="minorHAnsi"/>
          <w:sz w:val="24"/>
          <w:szCs w:val="24"/>
        </w:rPr>
        <w:t>szym ciągu korzystać</w:t>
      </w:r>
      <w:r w:rsidR="00BE7466">
        <w:rPr>
          <w:rFonts w:asciiTheme="minorHAnsi" w:hAnsiTheme="minorHAnsi"/>
          <w:sz w:val="24"/>
          <w:szCs w:val="24"/>
        </w:rPr>
        <w:t xml:space="preserve"> z uni</w:t>
      </w:r>
      <w:r>
        <w:rPr>
          <w:rFonts w:asciiTheme="minorHAnsi" w:hAnsiTheme="minorHAnsi"/>
          <w:sz w:val="24"/>
          <w:szCs w:val="24"/>
        </w:rPr>
        <w:t>jnych uzgodnień preferencyjnych</w:t>
      </w:r>
      <w:r w:rsidR="00BE7466">
        <w:rPr>
          <w:rFonts w:asciiTheme="minorHAnsi" w:hAnsiTheme="minorHAnsi"/>
          <w:sz w:val="24"/>
          <w:szCs w:val="24"/>
        </w:rPr>
        <w:t xml:space="preserve"> z obe</w:t>
      </w:r>
      <w:r>
        <w:rPr>
          <w:rFonts w:asciiTheme="minorHAnsi" w:hAnsiTheme="minorHAnsi"/>
          <w:sz w:val="24"/>
          <w:szCs w:val="24"/>
        </w:rPr>
        <w:t>cnymi uprzywilejowanymi partnerami Unii. Także importerzy unijni starający się uzyskać preferencyjne traktowanie w UE będą musieli zapewnić, by eksporter</w:t>
      </w:r>
      <w:r w:rsidR="00BE7466">
        <w:rPr>
          <w:rFonts w:asciiTheme="minorHAnsi" w:hAnsiTheme="minorHAnsi"/>
          <w:sz w:val="24"/>
          <w:szCs w:val="24"/>
        </w:rPr>
        <w:t xml:space="preserve"> z pań</w:t>
      </w:r>
      <w:r>
        <w:rPr>
          <w:rFonts w:asciiTheme="minorHAnsi" w:hAnsiTheme="minorHAnsi"/>
          <w:sz w:val="24"/>
          <w:szCs w:val="24"/>
        </w:rPr>
        <w:t>stwa trzeciego był</w:t>
      </w:r>
      <w:r w:rsidR="00BE7466">
        <w:rPr>
          <w:rFonts w:asciiTheme="minorHAnsi" w:hAnsiTheme="minorHAnsi"/>
          <w:sz w:val="24"/>
          <w:szCs w:val="24"/>
        </w:rPr>
        <w:t xml:space="preserve"> w sta</w:t>
      </w:r>
      <w:r>
        <w:rPr>
          <w:rFonts w:asciiTheme="minorHAnsi" w:hAnsiTheme="minorHAnsi"/>
          <w:sz w:val="24"/>
          <w:szCs w:val="24"/>
        </w:rPr>
        <w:t>nie udowodnić, że towary są zgodne</w:t>
      </w:r>
      <w:r w:rsidR="00BE7466">
        <w:rPr>
          <w:rFonts w:asciiTheme="minorHAnsi" w:hAnsiTheme="minorHAnsi"/>
          <w:sz w:val="24"/>
          <w:szCs w:val="24"/>
        </w:rPr>
        <w:t xml:space="preserve"> z wym</w:t>
      </w:r>
      <w:r>
        <w:rPr>
          <w:rFonts w:asciiTheme="minorHAnsi" w:hAnsiTheme="minorHAnsi"/>
          <w:sz w:val="24"/>
          <w:szCs w:val="24"/>
        </w:rPr>
        <w:t>ogami</w:t>
      </w:r>
      <w:r w:rsidR="00BE7466">
        <w:rPr>
          <w:rFonts w:asciiTheme="minorHAnsi" w:hAnsiTheme="minorHAnsi"/>
          <w:sz w:val="24"/>
          <w:szCs w:val="24"/>
        </w:rPr>
        <w:t xml:space="preserve"> w zak</w:t>
      </w:r>
      <w:r>
        <w:rPr>
          <w:rFonts w:asciiTheme="minorHAnsi" w:hAnsiTheme="minorHAnsi"/>
          <w:sz w:val="24"/>
          <w:szCs w:val="24"/>
        </w:rPr>
        <w:t>resie preferencyjnego pochodzenia po zakończeniu okresu przejściowego. Należy także zauważyć, że</w:t>
      </w:r>
      <w:r w:rsidR="00BE7466">
        <w:rPr>
          <w:rFonts w:asciiTheme="minorHAnsi" w:hAnsiTheme="minorHAnsi"/>
          <w:sz w:val="24"/>
          <w:szCs w:val="24"/>
        </w:rPr>
        <w:t xml:space="preserve"> w cel</w:t>
      </w:r>
      <w:r>
        <w:rPr>
          <w:rFonts w:asciiTheme="minorHAnsi" w:hAnsiTheme="minorHAnsi"/>
          <w:sz w:val="24"/>
          <w:szCs w:val="24"/>
        </w:rPr>
        <w:t>u utrzymania statusu preferencyjnego pochodzenia towarów transportowanych przez teren Zjednoczonego Królestwa lub zatrzymujących się na terenie Zjednoczonego Królestwa będzie trzeba zapewnić ich zgodność</w:t>
      </w:r>
      <w:r w:rsidR="00BE7466">
        <w:rPr>
          <w:rFonts w:asciiTheme="minorHAnsi" w:hAnsiTheme="minorHAnsi"/>
          <w:sz w:val="24"/>
          <w:szCs w:val="24"/>
        </w:rPr>
        <w:t xml:space="preserve"> z pos</w:t>
      </w:r>
      <w:r>
        <w:rPr>
          <w:rFonts w:asciiTheme="minorHAnsi" w:hAnsiTheme="minorHAnsi"/>
          <w:sz w:val="24"/>
          <w:szCs w:val="24"/>
        </w:rPr>
        <w:t>tanowieniami dotyczącymi bezpośredniego transportu/niemanipulacji zawartymi</w:t>
      </w:r>
      <w:r w:rsidR="00BE7466">
        <w:rPr>
          <w:rFonts w:asciiTheme="minorHAnsi" w:hAnsiTheme="minorHAnsi"/>
          <w:sz w:val="24"/>
          <w:szCs w:val="24"/>
        </w:rPr>
        <w:t xml:space="preserve"> w umo</w:t>
      </w:r>
      <w:r>
        <w:rPr>
          <w:rFonts w:asciiTheme="minorHAnsi" w:hAnsiTheme="minorHAnsi"/>
          <w:sz w:val="24"/>
          <w:szCs w:val="24"/>
        </w:rPr>
        <w:t>wach preferencyjnych UE.</w:t>
      </w:r>
    </w:p>
    <w:p w:rsidR="005B5E63" w:rsidRDefault="00B858F1">
      <w:pPr>
        <w:jc w:val="both"/>
        <w:rPr>
          <w:rFonts w:asciiTheme="minorHAnsi" w:hAnsiTheme="minorHAnsi" w:cstheme="minorHAnsi"/>
          <w:sz w:val="24"/>
          <w:szCs w:val="24"/>
        </w:rPr>
      </w:pPr>
      <w:r>
        <w:rPr>
          <w:rFonts w:asciiTheme="minorHAnsi" w:hAnsiTheme="minorHAnsi"/>
          <w:sz w:val="24"/>
          <w:szCs w:val="24"/>
        </w:rPr>
        <w:t>Ponadto przy przywozie towarów wwożonych ze Zjednoczonego Królestwa na obszar VAT Unii Europejskiej należny będzie podatek od wartości dodanej (podatek VAT)</w:t>
      </w:r>
      <w:r w:rsidR="00BE7466">
        <w:rPr>
          <w:rFonts w:asciiTheme="minorHAnsi" w:hAnsiTheme="minorHAnsi"/>
          <w:sz w:val="24"/>
          <w:szCs w:val="24"/>
        </w:rPr>
        <w:t xml:space="preserve"> w sta</w:t>
      </w:r>
      <w:r>
        <w:rPr>
          <w:rFonts w:asciiTheme="minorHAnsi" w:hAnsiTheme="minorHAnsi"/>
          <w:sz w:val="24"/>
          <w:szCs w:val="24"/>
        </w:rPr>
        <w:t>wce, która ma zastosowanie do dostaw tych samych towarów na obszarze Unii. Towary wywożone</w:t>
      </w:r>
      <w:r w:rsidR="00BE7466">
        <w:rPr>
          <w:rFonts w:asciiTheme="minorHAnsi" w:hAnsiTheme="minorHAnsi"/>
          <w:sz w:val="24"/>
          <w:szCs w:val="24"/>
        </w:rPr>
        <w:t xml:space="preserve"> z Uni</w:t>
      </w:r>
      <w:r>
        <w:rPr>
          <w:rFonts w:asciiTheme="minorHAnsi" w:hAnsiTheme="minorHAnsi"/>
          <w:sz w:val="24"/>
          <w:szCs w:val="24"/>
        </w:rPr>
        <w:t>i do Z</w:t>
      </w:r>
      <w:r>
        <w:rPr>
          <w:rFonts w:asciiTheme="minorHAnsi" w:hAnsiTheme="minorHAnsi"/>
          <w:sz w:val="24"/>
        </w:rPr>
        <w:t>jednoczonego Królestwa</w:t>
      </w:r>
      <w:r>
        <w:rPr>
          <w:rFonts w:asciiTheme="minorHAnsi" w:hAnsiTheme="minorHAnsi"/>
          <w:sz w:val="24"/>
          <w:szCs w:val="24"/>
        </w:rPr>
        <w:t xml:space="preserve"> będą zwolnione</w:t>
      </w:r>
      <w:r w:rsidR="00BE7466">
        <w:rPr>
          <w:rFonts w:asciiTheme="minorHAnsi" w:hAnsiTheme="minorHAnsi"/>
          <w:sz w:val="24"/>
          <w:szCs w:val="24"/>
        </w:rPr>
        <w:t xml:space="preserve"> z pod</w:t>
      </w:r>
      <w:r>
        <w:rPr>
          <w:rFonts w:asciiTheme="minorHAnsi" w:hAnsiTheme="minorHAnsi"/>
          <w:sz w:val="24"/>
          <w:szCs w:val="24"/>
        </w:rPr>
        <w:t>atku VAT, jeżeli będą wysyłane lub transportowane do Z</w:t>
      </w:r>
      <w:r>
        <w:rPr>
          <w:rFonts w:asciiTheme="minorHAnsi" w:hAnsiTheme="minorHAnsi"/>
          <w:sz w:val="24"/>
        </w:rPr>
        <w:t>jednoczonego Królestwa</w:t>
      </w:r>
      <w:r>
        <w:rPr>
          <w:rFonts w:asciiTheme="minorHAnsi" w:hAnsiTheme="minorHAnsi"/>
          <w:sz w:val="24"/>
          <w:szCs w:val="24"/>
        </w:rPr>
        <w:t>, tak samo jak ma to miejsce</w:t>
      </w:r>
      <w:r w:rsidR="00BE7466">
        <w:rPr>
          <w:rFonts w:asciiTheme="minorHAnsi" w:hAnsiTheme="minorHAnsi"/>
          <w:sz w:val="24"/>
          <w:szCs w:val="24"/>
        </w:rPr>
        <w:t xml:space="preserve"> w prz</w:t>
      </w:r>
      <w:r>
        <w:rPr>
          <w:rFonts w:asciiTheme="minorHAnsi" w:hAnsiTheme="minorHAnsi"/>
          <w:sz w:val="24"/>
          <w:szCs w:val="24"/>
        </w:rPr>
        <w:t>ypadku każdego innego miejsca przeznaczenia poza Unią Europejską</w:t>
      </w:r>
      <w:r w:rsidR="00BE7466">
        <w:rPr>
          <w:rFonts w:asciiTheme="minorHAnsi" w:hAnsiTheme="minorHAnsi"/>
          <w:sz w:val="24"/>
          <w:szCs w:val="24"/>
        </w:rPr>
        <w:t>. W tak</w:t>
      </w:r>
      <w:r>
        <w:rPr>
          <w:rFonts w:asciiTheme="minorHAnsi" w:hAnsiTheme="minorHAnsi"/>
          <w:sz w:val="24"/>
          <w:szCs w:val="24"/>
        </w:rPr>
        <w:t>ich sytuacjach dostawca eksportowanych towarów musi być</w:t>
      </w:r>
      <w:r w:rsidR="00BE7466">
        <w:rPr>
          <w:rFonts w:asciiTheme="minorHAnsi" w:hAnsiTheme="minorHAnsi"/>
          <w:sz w:val="24"/>
          <w:szCs w:val="24"/>
        </w:rPr>
        <w:t xml:space="preserve"> w sta</w:t>
      </w:r>
      <w:r>
        <w:rPr>
          <w:rFonts w:asciiTheme="minorHAnsi" w:hAnsiTheme="minorHAnsi"/>
          <w:sz w:val="24"/>
          <w:szCs w:val="24"/>
        </w:rPr>
        <w:t>nie udowodnić, że towary opuściły Unię.</w:t>
      </w:r>
    </w:p>
    <w:p w:rsidR="005B5E63" w:rsidRDefault="00B858F1">
      <w:pPr>
        <w:jc w:val="both"/>
        <w:rPr>
          <w:rFonts w:asciiTheme="minorHAnsi" w:hAnsiTheme="minorHAnsi" w:cstheme="minorHAnsi"/>
          <w:sz w:val="24"/>
          <w:szCs w:val="24"/>
        </w:rPr>
      </w:pPr>
      <w:r>
        <w:rPr>
          <w:rFonts w:asciiTheme="minorHAnsi" w:hAnsiTheme="minorHAnsi"/>
          <w:sz w:val="24"/>
          <w:szCs w:val="24"/>
        </w:rPr>
        <w:lastRenderedPageBreak/>
        <w:t>Tak samo jak</w:t>
      </w:r>
      <w:r w:rsidR="00BE7466">
        <w:rPr>
          <w:rFonts w:asciiTheme="minorHAnsi" w:hAnsiTheme="minorHAnsi"/>
          <w:sz w:val="24"/>
          <w:szCs w:val="24"/>
        </w:rPr>
        <w:t xml:space="preserve"> w prz</w:t>
      </w:r>
      <w:r>
        <w:rPr>
          <w:rFonts w:asciiTheme="minorHAnsi" w:hAnsiTheme="minorHAnsi"/>
          <w:sz w:val="24"/>
          <w:szCs w:val="24"/>
        </w:rPr>
        <w:t>ypadku każdego przywozu</w:t>
      </w:r>
      <w:r w:rsidR="00BE7466">
        <w:rPr>
          <w:rFonts w:asciiTheme="minorHAnsi" w:hAnsiTheme="minorHAnsi"/>
          <w:sz w:val="24"/>
          <w:szCs w:val="24"/>
        </w:rPr>
        <w:t xml:space="preserve"> z pań</w:t>
      </w:r>
      <w:r>
        <w:rPr>
          <w:rFonts w:asciiTheme="minorHAnsi" w:hAnsiTheme="minorHAnsi"/>
          <w:sz w:val="24"/>
          <w:szCs w:val="24"/>
        </w:rPr>
        <w:t>stw trzecich do Unii podatki akcyzowe dotyczące wyrobów akcyzowych (napoje alkoholowe, wyroby tytoniowe itd.) będą należne przy przywozie do Unii</w:t>
      </w:r>
      <w:r w:rsidR="00BE7466">
        <w:rPr>
          <w:rFonts w:asciiTheme="minorHAnsi" w:hAnsiTheme="minorHAnsi"/>
          <w:sz w:val="24"/>
          <w:szCs w:val="24"/>
        </w:rPr>
        <w:t xml:space="preserve"> i pob</w:t>
      </w:r>
      <w:r>
        <w:rPr>
          <w:rFonts w:asciiTheme="minorHAnsi" w:hAnsiTheme="minorHAnsi"/>
          <w:sz w:val="24"/>
          <w:szCs w:val="24"/>
        </w:rPr>
        <w:t>ierane przy wprowadzaniu towaru do obrotu</w:t>
      </w:r>
      <w:r w:rsidR="00BE7466">
        <w:rPr>
          <w:rFonts w:asciiTheme="minorHAnsi" w:hAnsiTheme="minorHAnsi"/>
          <w:sz w:val="24"/>
          <w:szCs w:val="24"/>
        </w:rPr>
        <w:t>. W prz</w:t>
      </w:r>
      <w:r>
        <w:rPr>
          <w:rFonts w:asciiTheme="minorHAnsi" w:hAnsiTheme="minorHAnsi"/>
          <w:sz w:val="24"/>
          <w:szCs w:val="24"/>
        </w:rPr>
        <w:t>yszłości przywóz ze Zjednoczonego Królestwa może również zostać objęty środkami antydumpingowymi, wyrównawczymi lub ochronnymi</w:t>
      </w:r>
      <w:r w:rsidR="00BE7466">
        <w:rPr>
          <w:rFonts w:asciiTheme="minorHAnsi" w:hAnsiTheme="minorHAnsi"/>
          <w:sz w:val="24"/>
          <w:szCs w:val="24"/>
        </w:rPr>
        <w:t xml:space="preserve"> w ram</w:t>
      </w:r>
      <w:r>
        <w:rPr>
          <w:rFonts w:asciiTheme="minorHAnsi" w:hAnsiTheme="minorHAnsi"/>
          <w:sz w:val="24"/>
          <w:szCs w:val="24"/>
        </w:rPr>
        <w:t>ach polityki ochrony handlu Unii Europejskiej.</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 handlowe będą musiały być</w:t>
      </w:r>
      <w:r w:rsidR="00BE7466">
        <w:rPr>
          <w:rFonts w:asciiTheme="minorHAnsi" w:hAnsiTheme="minorHAnsi"/>
          <w:sz w:val="24"/>
          <w:szCs w:val="24"/>
        </w:rPr>
        <w:t xml:space="preserve"> w sta</w:t>
      </w:r>
      <w:r>
        <w:rPr>
          <w:rFonts w:asciiTheme="minorHAnsi" w:hAnsiTheme="minorHAnsi"/>
          <w:sz w:val="24"/>
          <w:szCs w:val="24"/>
        </w:rPr>
        <w:t>nie wykazać status pochodzenia towarów będących przedmiotem wymiany handlowej, aby towary te mogły być traktowane preferencyjnie na mocy ewentualnej przyszłej umowy między UE</w:t>
      </w:r>
      <w:r w:rsidR="00BE7466">
        <w:rPr>
          <w:rFonts w:asciiTheme="minorHAnsi" w:hAnsiTheme="minorHAnsi"/>
          <w:sz w:val="24"/>
          <w:szCs w:val="24"/>
        </w:rPr>
        <w:t xml:space="preserve"> a Zje</w:t>
      </w:r>
      <w:r>
        <w:rPr>
          <w:rFonts w:asciiTheme="minorHAnsi" w:hAnsiTheme="minorHAnsi"/>
          <w:sz w:val="24"/>
          <w:szCs w:val="24"/>
        </w:rPr>
        <w:t>dnoczonym Królestwem. Towary niespełniające wymogów dotyczących pochodzenia nie będą korzystać</w:t>
      </w:r>
      <w:r w:rsidR="00BE7466">
        <w:rPr>
          <w:rFonts w:asciiTheme="minorHAnsi" w:hAnsiTheme="minorHAnsi"/>
          <w:sz w:val="24"/>
          <w:szCs w:val="24"/>
        </w:rPr>
        <w:t xml:space="preserve"> z tyc</w:t>
      </w:r>
      <w:r>
        <w:rPr>
          <w:rFonts w:asciiTheme="minorHAnsi" w:hAnsiTheme="minorHAnsi"/>
          <w:sz w:val="24"/>
          <w:szCs w:val="24"/>
        </w:rPr>
        <w:t>h uzgodnień preferencyjnych.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Także przedsiębiorstwa UE powinny być gotowe na rozpoczęcie traktowania elementów pochodzących ze Zjednoczonego Królestwa (materiały</w:t>
      </w:r>
      <w:r w:rsidR="00BE7466">
        <w:rPr>
          <w:rFonts w:asciiTheme="minorHAnsi" w:hAnsiTheme="minorHAnsi"/>
          <w:sz w:val="24"/>
          <w:szCs w:val="24"/>
        </w:rPr>
        <w:t xml:space="preserve"> i pro</w:t>
      </w:r>
      <w:r>
        <w:rPr>
          <w:rFonts w:asciiTheme="minorHAnsi" w:hAnsiTheme="minorHAnsi"/>
          <w:sz w:val="24"/>
          <w:szCs w:val="24"/>
        </w:rPr>
        <w:t>cesy) jako „niepochodzących”</w:t>
      </w:r>
      <w:r w:rsidR="00BE7466">
        <w:rPr>
          <w:rFonts w:asciiTheme="minorHAnsi" w:hAnsiTheme="minorHAnsi"/>
          <w:sz w:val="24"/>
          <w:szCs w:val="24"/>
        </w:rPr>
        <w:t xml:space="preserve"> w kon</w:t>
      </w:r>
      <w:r>
        <w:rPr>
          <w:rFonts w:asciiTheme="minorHAnsi" w:hAnsiTheme="minorHAnsi"/>
          <w:sz w:val="24"/>
          <w:szCs w:val="24"/>
        </w:rPr>
        <w:t>tekście handlu</w:t>
      </w:r>
      <w:r w:rsidR="00BE7466">
        <w:rPr>
          <w:rFonts w:asciiTheme="minorHAnsi" w:hAnsiTheme="minorHAnsi"/>
          <w:sz w:val="24"/>
          <w:szCs w:val="24"/>
        </w:rPr>
        <w:t xml:space="preserve"> z obe</w:t>
      </w:r>
      <w:r>
        <w:rPr>
          <w:rFonts w:asciiTheme="minorHAnsi" w:hAnsiTheme="minorHAnsi"/>
          <w:sz w:val="24"/>
          <w:szCs w:val="24"/>
        </w:rPr>
        <w:t>cnymi uprzywilejowanymi krajami partnerskimi Unii, aby zapewnić, by wywożone przez nie towary mogły</w:t>
      </w:r>
      <w:r w:rsidR="00BE7466">
        <w:rPr>
          <w:rFonts w:asciiTheme="minorHAnsi" w:hAnsiTheme="minorHAnsi"/>
          <w:sz w:val="24"/>
          <w:szCs w:val="24"/>
        </w:rPr>
        <w:t xml:space="preserve"> w dal</w:t>
      </w:r>
      <w:r>
        <w:rPr>
          <w:rFonts w:asciiTheme="minorHAnsi" w:hAnsiTheme="minorHAnsi"/>
          <w:sz w:val="24"/>
          <w:szCs w:val="24"/>
        </w:rPr>
        <w:t>szym ciągu korzystać</w:t>
      </w:r>
      <w:r w:rsidR="00BE7466">
        <w:rPr>
          <w:rFonts w:asciiTheme="minorHAnsi" w:hAnsiTheme="minorHAnsi"/>
          <w:sz w:val="24"/>
          <w:szCs w:val="24"/>
        </w:rPr>
        <w:t xml:space="preserve"> z pre</w:t>
      </w:r>
      <w:r>
        <w:rPr>
          <w:rFonts w:asciiTheme="minorHAnsi" w:hAnsiTheme="minorHAnsi"/>
          <w:sz w:val="24"/>
          <w:szCs w:val="24"/>
        </w:rPr>
        <w:t>ferencyjnego traktowania uzgodnionego</w:t>
      </w:r>
      <w:r w:rsidR="00BE7466">
        <w:rPr>
          <w:rFonts w:asciiTheme="minorHAnsi" w:hAnsiTheme="minorHAnsi"/>
          <w:sz w:val="24"/>
          <w:szCs w:val="24"/>
        </w:rPr>
        <w:t xml:space="preserve"> w ram</w:t>
      </w:r>
      <w:r>
        <w:rPr>
          <w:rFonts w:asciiTheme="minorHAnsi" w:hAnsiTheme="minorHAnsi"/>
          <w:sz w:val="24"/>
          <w:szCs w:val="24"/>
        </w:rPr>
        <w:t>ach unijnych umów</w:t>
      </w:r>
      <w:r w:rsidR="00BE7466">
        <w:rPr>
          <w:rFonts w:asciiTheme="minorHAnsi" w:hAnsiTheme="minorHAnsi"/>
          <w:sz w:val="24"/>
          <w:szCs w:val="24"/>
        </w:rPr>
        <w:t xml:space="preserve"> o wol</w:t>
      </w:r>
      <w:r>
        <w:rPr>
          <w:rFonts w:asciiTheme="minorHAnsi" w:hAnsiTheme="minorHAnsi"/>
          <w:sz w:val="24"/>
          <w:szCs w:val="24"/>
        </w:rPr>
        <w:t>nym handlu</w:t>
      </w:r>
      <w:r w:rsidR="00BE7466">
        <w:rPr>
          <w:rFonts w:asciiTheme="minorHAnsi" w:hAnsiTheme="minorHAnsi"/>
          <w:sz w:val="24"/>
          <w:szCs w:val="24"/>
        </w:rPr>
        <w:t xml:space="preserve"> w każ</w:t>
      </w:r>
      <w:r>
        <w:rPr>
          <w:rFonts w:asciiTheme="minorHAnsi" w:hAnsiTheme="minorHAnsi"/>
          <w:sz w:val="24"/>
          <w:szCs w:val="24"/>
        </w:rPr>
        <w:t>dym przypadku po zakończeniu okresu przejściowego</w:t>
      </w:r>
      <w:r>
        <w:rPr>
          <w:rStyle w:val="Odwoanieprzypisudolnego"/>
          <w:rFonts w:asciiTheme="minorHAnsi" w:hAnsiTheme="minorHAnsi" w:cstheme="minorHAnsi"/>
          <w:sz w:val="24"/>
          <w:szCs w:val="24"/>
        </w:rPr>
        <w:footnoteReference w:id="13"/>
      </w:r>
      <w:r>
        <w:rPr>
          <w:rFonts w:asciiTheme="minorHAnsi" w:hAnsiTheme="minorHAnsi"/>
          <w:sz w:val="24"/>
          <w:szCs w:val="24"/>
        </w:rPr>
        <w:t>. Także elementy pochodzące ze Zjednoczonego Królestwa znajdujące się</w:t>
      </w:r>
      <w:r w:rsidR="00BE7466">
        <w:rPr>
          <w:rFonts w:asciiTheme="minorHAnsi" w:hAnsiTheme="minorHAnsi"/>
          <w:sz w:val="24"/>
          <w:szCs w:val="24"/>
        </w:rPr>
        <w:t xml:space="preserve"> w tow</w:t>
      </w:r>
      <w:r>
        <w:rPr>
          <w:rFonts w:asciiTheme="minorHAnsi" w:hAnsiTheme="minorHAnsi"/>
          <w:sz w:val="24"/>
          <w:szCs w:val="24"/>
        </w:rPr>
        <w:t>arach uzyskanych</w:t>
      </w:r>
      <w:r w:rsidR="00BE7466">
        <w:rPr>
          <w:rFonts w:asciiTheme="minorHAnsi" w:hAnsiTheme="minorHAnsi"/>
          <w:sz w:val="24"/>
          <w:szCs w:val="24"/>
        </w:rPr>
        <w:t xml:space="preserve"> w pań</w:t>
      </w:r>
      <w:r>
        <w:rPr>
          <w:rFonts w:asciiTheme="minorHAnsi" w:hAnsiTheme="minorHAnsi"/>
          <w:sz w:val="24"/>
          <w:szCs w:val="24"/>
        </w:rPr>
        <w:t>stwach trzecich,</w:t>
      </w:r>
      <w:r w:rsidR="00BE7466">
        <w:rPr>
          <w:rFonts w:asciiTheme="minorHAnsi" w:hAnsiTheme="minorHAnsi"/>
          <w:sz w:val="24"/>
          <w:szCs w:val="24"/>
        </w:rPr>
        <w:t xml:space="preserve"> z któ</w:t>
      </w:r>
      <w:r>
        <w:rPr>
          <w:rFonts w:asciiTheme="minorHAnsi" w:hAnsiTheme="minorHAnsi"/>
          <w:sz w:val="24"/>
          <w:szCs w:val="24"/>
        </w:rPr>
        <w:t>rymi Unia zawarła uzgodnienia preferencyjne,</w:t>
      </w:r>
      <w:r w:rsidR="00BE7466">
        <w:rPr>
          <w:rFonts w:asciiTheme="minorHAnsi" w:hAnsiTheme="minorHAnsi"/>
          <w:sz w:val="24"/>
          <w:szCs w:val="24"/>
        </w:rPr>
        <w:t xml:space="preserve"> i prz</w:t>
      </w:r>
      <w:r>
        <w:rPr>
          <w:rFonts w:asciiTheme="minorHAnsi" w:hAnsiTheme="minorHAnsi"/>
          <w:sz w:val="24"/>
          <w:szCs w:val="24"/>
        </w:rPr>
        <w:t>ywiezionych do Unii będą uznawane za „niepochodzące”. Zjednoczone Królestwo będzie zatem państwem trzecim do celów bezpośredniego transportu/zasady niemanipulacji</w:t>
      </w:r>
      <w:r w:rsidR="00BE7466">
        <w:rPr>
          <w:rFonts w:asciiTheme="minorHAnsi" w:hAnsiTheme="minorHAnsi"/>
          <w:sz w:val="24"/>
          <w:szCs w:val="24"/>
        </w:rPr>
        <w:t xml:space="preserve"> i prz</w:t>
      </w:r>
      <w:r>
        <w:rPr>
          <w:rFonts w:asciiTheme="minorHAnsi" w:hAnsiTheme="minorHAnsi"/>
          <w:sz w:val="24"/>
          <w:szCs w:val="24"/>
        </w:rPr>
        <w:t>edsiębiorstwa powinny dostosować odpowiednio swoją logistykę.</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Ponadto przedsiębiorstwa UE powinny zapoznać się</w:t>
      </w:r>
      <w:r w:rsidR="00BE7466">
        <w:rPr>
          <w:rFonts w:asciiTheme="minorHAnsi" w:hAnsiTheme="minorHAnsi"/>
          <w:sz w:val="24"/>
          <w:szCs w:val="24"/>
        </w:rPr>
        <w:t xml:space="preserve"> z odp</w:t>
      </w:r>
      <w:r>
        <w:rPr>
          <w:rFonts w:asciiTheme="minorHAnsi" w:hAnsiTheme="minorHAnsi"/>
          <w:sz w:val="24"/>
          <w:szCs w:val="24"/>
        </w:rPr>
        <w:t>owiednimi procedurami VAT oraz przygotować się do ich stosowania. Powinny</w:t>
      </w:r>
      <w:r w:rsidR="00BE7466">
        <w:rPr>
          <w:rFonts w:asciiTheme="minorHAnsi" w:hAnsiTheme="minorHAnsi"/>
          <w:sz w:val="24"/>
          <w:szCs w:val="24"/>
        </w:rPr>
        <w:t xml:space="preserve"> w sto</w:t>
      </w:r>
      <w:r>
        <w:rPr>
          <w:rFonts w:asciiTheme="minorHAnsi" w:hAnsiTheme="minorHAnsi"/>
          <w:sz w:val="24"/>
          <w:szCs w:val="24"/>
        </w:rPr>
        <w:t>sownych przypadkach wziąć pod uwagę większą ilość obowiązków administracyjnych</w:t>
      </w:r>
      <w:r w:rsidR="00BE7466">
        <w:rPr>
          <w:rFonts w:asciiTheme="minorHAnsi" w:hAnsiTheme="minorHAnsi"/>
          <w:sz w:val="24"/>
          <w:szCs w:val="24"/>
        </w:rPr>
        <w:t xml:space="preserve"> i pot</w:t>
      </w:r>
      <w:r>
        <w:rPr>
          <w:rFonts w:asciiTheme="minorHAnsi" w:hAnsiTheme="minorHAnsi"/>
          <w:sz w:val="24"/>
          <w:szCs w:val="24"/>
        </w:rPr>
        <w:t>encjalne opóźnienia. Może to oznaczać znaczące zmiany</w:t>
      </w:r>
      <w:r w:rsidR="00BE7466">
        <w:rPr>
          <w:rFonts w:asciiTheme="minorHAnsi" w:hAnsiTheme="minorHAnsi"/>
          <w:sz w:val="24"/>
          <w:szCs w:val="24"/>
        </w:rPr>
        <w:t xml:space="preserve"> w org</w:t>
      </w:r>
      <w:r>
        <w:rPr>
          <w:rFonts w:asciiTheme="minorHAnsi" w:hAnsiTheme="minorHAnsi"/>
          <w:sz w:val="24"/>
          <w:szCs w:val="24"/>
        </w:rPr>
        <w:t>anizacji istniejących łańcuchów dostaw</w:t>
      </w:r>
      <w:r w:rsidR="00BE7466">
        <w:rPr>
          <w:rFonts w:asciiTheme="minorHAnsi" w:hAnsiTheme="minorHAnsi"/>
          <w:sz w:val="24"/>
          <w:szCs w:val="24"/>
        </w:rPr>
        <w:t xml:space="preserve"> i pro</w:t>
      </w:r>
      <w:r>
        <w:rPr>
          <w:rFonts w:asciiTheme="minorHAnsi" w:hAnsiTheme="minorHAnsi"/>
          <w:sz w:val="24"/>
          <w:szCs w:val="24"/>
        </w:rPr>
        <w:t xml:space="preserve">cesów księgowych.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Administracje państw członkowskich UE powinny przygotować się na dodatkowe obciążenia wynikające</w:t>
      </w:r>
      <w:r w:rsidR="00BE7466">
        <w:rPr>
          <w:rFonts w:asciiTheme="minorHAnsi" w:hAnsiTheme="minorHAnsi"/>
          <w:sz w:val="24"/>
          <w:szCs w:val="24"/>
        </w:rPr>
        <w:t xml:space="preserve"> z tyc</w:t>
      </w:r>
      <w:r>
        <w:rPr>
          <w:rFonts w:asciiTheme="minorHAnsi" w:hAnsiTheme="minorHAnsi"/>
          <w:sz w:val="24"/>
          <w:szCs w:val="24"/>
        </w:rPr>
        <w:t>h zmian, zarówno jeżeli chodzi</w:t>
      </w:r>
      <w:r w:rsidR="00BE7466">
        <w:rPr>
          <w:rFonts w:asciiTheme="minorHAnsi" w:hAnsiTheme="minorHAnsi"/>
          <w:sz w:val="24"/>
          <w:szCs w:val="24"/>
        </w:rPr>
        <w:t xml:space="preserve"> o per</w:t>
      </w:r>
      <w:r>
        <w:rPr>
          <w:rFonts w:asciiTheme="minorHAnsi" w:hAnsiTheme="minorHAnsi"/>
          <w:sz w:val="24"/>
          <w:szCs w:val="24"/>
        </w:rPr>
        <w:t>sonel, jak</w:t>
      </w:r>
      <w:r w:rsidR="00BE7466">
        <w:rPr>
          <w:rFonts w:asciiTheme="minorHAnsi" w:hAnsiTheme="minorHAnsi"/>
          <w:sz w:val="24"/>
          <w:szCs w:val="24"/>
        </w:rPr>
        <w:t xml:space="preserve"> i szk</w:t>
      </w:r>
      <w:r>
        <w:rPr>
          <w:rFonts w:asciiTheme="minorHAnsi" w:hAnsiTheme="minorHAnsi"/>
          <w:sz w:val="24"/>
          <w:szCs w:val="24"/>
        </w:rPr>
        <w:t>olenia, oraz zintensyfikować działania mające na celu zwiększanie świadomości, kierując je</w:t>
      </w:r>
      <w:r w:rsidR="00BE7466">
        <w:rPr>
          <w:rFonts w:asciiTheme="minorHAnsi" w:hAnsiTheme="minorHAnsi"/>
          <w:sz w:val="24"/>
          <w:szCs w:val="24"/>
        </w:rPr>
        <w:t xml:space="preserve"> w szc</w:t>
      </w:r>
      <w:r>
        <w:rPr>
          <w:rFonts w:asciiTheme="minorHAnsi" w:hAnsiTheme="minorHAnsi"/>
          <w:sz w:val="24"/>
          <w:szCs w:val="24"/>
        </w:rPr>
        <w:t>zególności do małych</w:t>
      </w:r>
      <w:r w:rsidR="00BE7466">
        <w:rPr>
          <w:rFonts w:asciiTheme="minorHAnsi" w:hAnsiTheme="minorHAnsi"/>
          <w:sz w:val="24"/>
          <w:szCs w:val="24"/>
        </w:rPr>
        <w:t xml:space="preserve"> i śre</w:t>
      </w:r>
      <w:r>
        <w:rPr>
          <w:rFonts w:asciiTheme="minorHAnsi" w:hAnsiTheme="minorHAnsi"/>
          <w:sz w:val="24"/>
          <w:szCs w:val="24"/>
        </w:rPr>
        <w:t>dnich przedsiębiorstw.</w:t>
      </w:r>
    </w:p>
    <w:p w:rsidR="005B5E63" w:rsidRDefault="00B858F1">
      <w:pPr>
        <w:pStyle w:val="Nagwek3"/>
      </w:pPr>
      <w:bookmarkStart w:id="7" w:name="_Toc46137000"/>
      <w:r>
        <w:lastRenderedPageBreak/>
        <w:t>A.3. Świadectwa</w:t>
      </w:r>
      <w:r w:rsidR="00BE7466">
        <w:t xml:space="preserve"> i zez</w:t>
      </w:r>
      <w:r>
        <w:t>wolenia dotyczące produktów, wymogi dotyczące prowadzenia działalności gospodarczej, etykietowanie</w:t>
      </w:r>
      <w:r w:rsidR="00BE7466">
        <w:t xml:space="preserve"> i ozn</w:t>
      </w:r>
      <w:r>
        <w:t>aczanie</w:t>
      </w:r>
      <w:bookmarkEnd w:id="7"/>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w:t>
      </w:r>
      <w:r>
        <w:rPr>
          <w:rFonts w:asciiTheme="minorHAnsi" w:hAnsiTheme="minorHAnsi"/>
          <w:sz w:val="24"/>
        </w:rPr>
        <w:t>jednoczone Królestwo</w:t>
      </w:r>
      <w:r>
        <w:rPr>
          <w:rFonts w:asciiTheme="minorHAnsi" w:hAnsiTheme="minorHAnsi"/>
          <w:sz w:val="24"/>
          <w:szCs w:val="24"/>
        </w:rPr>
        <w:t xml:space="preserve"> uczestniczy</w:t>
      </w:r>
      <w:r w:rsidR="00BE7466">
        <w:rPr>
          <w:rFonts w:asciiTheme="minorHAnsi" w:hAnsiTheme="minorHAnsi"/>
          <w:sz w:val="24"/>
          <w:szCs w:val="24"/>
        </w:rPr>
        <w:t xml:space="preserve"> w jed</w:t>
      </w:r>
      <w:r>
        <w:rPr>
          <w:rFonts w:asciiTheme="minorHAnsi" w:hAnsiTheme="minorHAnsi"/>
          <w:sz w:val="24"/>
          <w:szCs w:val="24"/>
        </w:rPr>
        <w:t>nolitym rynku,</w:t>
      </w:r>
      <w:r w:rsidR="00BE7466">
        <w:rPr>
          <w:rFonts w:asciiTheme="minorHAnsi" w:hAnsiTheme="minorHAnsi"/>
          <w:sz w:val="24"/>
          <w:szCs w:val="24"/>
        </w:rPr>
        <w:t xml:space="preserve"> w tym w jed</w:t>
      </w:r>
      <w:r>
        <w:rPr>
          <w:rFonts w:asciiTheme="minorHAnsi" w:hAnsiTheme="minorHAnsi"/>
          <w:sz w:val="24"/>
          <w:szCs w:val="24"/>
        </w:rPr>
        <w:t>nolitym rynku towarów. Między Unią Europejską</w:t>
      </w:r>
      <w:r w:rsidR="00BE7466">
        <w:rPr>
          <w:rFonts w:asciiTheme="minorHAnsi" w:hAnsiTheme="minorHAnsi"/>
          <w:sz w:val="24"/>
          <w:szCs w:val="24"/>
        </w:rPr>
        <w:t xml:space="preserve"> a Z</w:t>
      </w:r>
      <w:r w:rsidR="00BE7466">
        <w:rPr>
          <w:rFonts w:asciiTheme="minorHAnsi" w:hAnsiTheme="minorHAnsi"/>
          <w:sz w:val="24"/>
        </w:rPr>
        <w:t>je</w:t>
      </w:r>
      <w:r>
        <w:rPr>
          <w:rFonts w:asciiTheme="minorHAnsi" w:hAnsiTheme="minorHAnsi"/>
          <w:sz w:val="24"/>
        </w:rPr>
        <w:t>dnoczonym Królestwem</w:t>
      </w:r>
      <w:r>
        <w:rPr>
          <w:rFonts w:asciiTheme="minorHAnsi" w:hAnsiTheme="minorHAnsi"/>
          <w:sz w:val="24"/>
          <w:szCs w:val="24"/>
        </w:rPr>
        <w:t xml:space="preserve"> może odbywać się swobodna wymiana handlowa towarów bez prowadzenia kontroli dzięki istnieniu jednolitych unijnych ram regulacyjnych dotyczących wprowadzania towarów do obrotu,</w:t>
      </w:r>
      <w:r w:rsidR="00BE7466">
        <w:rPr>
          <w:rFonts w:asciiTheme="minorHAnsi" w:hAnsiTheme="minorHAnsi"/>
          <w:sz w:val="24"/>
          <w:szCs w:val="24"/>
        </w:rPr>
        <w:t xml:space="preserve"> w tym</w:t>
      </w:r>
      <w:r>
        <w:rPr>
          <w:rFonts w:asciiTheme="minorHAnsi" w:hAnsiTheme="minorHAnsi"/>
          <w:sz w:val="24"/>
          <w:szCs w:val="24"/>
        </w:rPr>
        <w:t xml:space="preserve"> zharmonizowanych przepisów technicznych, norm bezpieczeństwa</w:t>
      </w:r>
      <w:r w:rsidR="00BE7466">
        <w:rPr>
          <w:rFonts w:asciiTheme="minorHAnsi" w:hAnsiTheme="minorHAnsi"/>
          <w:sz w:val="24"/>
          <w:szCs w:val="24"/>
        </w:rPr>
        <w:t xml:space="preserve"> i nor</w:t>
      </w:r>
      <w:r>
        <w:rPr>
          <w:rFonts w:asciiTheme="minorHAnsi" w:hAnsiTheme="minorHAnsi"/>
          <w:sz w:val="24"/>
          <w:szCs w:val="24"/>
        </w:rPr>
        <w:t>m środowiskowych oraz wzajemnego uznawania. Instytucje</w:t>
      </w:r>
      <w:r w:rsidR="00BE7466">
        <w:rPr>
          <w:rFonts w:asciiTheme="minorHAnsi" w:hAnsiTheme="minorHAnsi"/>
          <w:sz w:val="24"/>
          <w:szCs w:val="24"/>
        </w:rPr>
        <w:t xml:space="preserve"> i org</w:t>
      </w:r>
      <w:r>
        <w:rPr>
          <w:rFonts w:asciiTheme="minorHAnsi" w:hAnsiTheme="minorHAnsi"/>
          <w:sz w:val="24"/>
          <w:szCs w:val="24"/>
        </w:rPr>
        <w:t>any Unii, takie jak unijne agencje, sprawują nadzór nad dobrym funkcjonowaniem tych ram.</w:t>
      </w:r>
    </w:p>
    <w:p w:rsidR="005B5E63" w:rsidRDefault="00B858F1">
      <w:pPr>
        <w:jc w:val="both"/>
        <w:rPr>
          <w:rFonts w:asciiTheme="minorHAnsi" w:hAnsiTheme="minorHAnsi" w:cstheme="minorHAnsi"/>
          <w:sz w:val="24"/>
          <w:szCs w:val="24"/>
        </w:rPr>
      </w:pPr>
      <w:r>
        <w:rPr>
          <w:rFonts w:asciiTheme="minorHAnsi" w:hAnsiTheme="minorHAnsi"/>
          <w:b/>
          <w:sz w:val="24"/>
          <w:szCs w:val="24"/>
        </w:rPr>
        <w:t>Od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Unia</w:t>
      </w:r>
      <w:r w:rsidR="00BE7466">
        <w:rPr>
          <w:rFonts w:asciiTheme="minorHAnsi" w:hAnsiTheme="minorHAnsi"/>
          <w:sz w:val="24"/>
          <w:szCs w:val="24"/>
        </w:rPr>
        <w:t xml:space="preserve"> i Z</w:t>
      </w:r>
      <w:r w:rsidR="00BE7466">
        <w:rPr>
          <w:rFonts w:asciiTheme="minorHAnsi" w:hAnsiTheme="minorHAnsi"/>
          <w:sz w:val="24"/>
        </w:rPr>
        <w:t>je</w:t>
      </w:r>
      <w:r>
        <w:rPr>
          <w:rFonts w:asciiTheme="minorHAnsi" w:hAnsiTheme="minorHAnsi"/>
          <w:sz w:val="24"/>
        </w:rPr>
        <w:t>dnoczone Królestwo</w:t>
      </w:r>
      <w:r>
        <w:rPr>
          <w:rFonts w:asciiTheme="minorHAnsi" w:hAnsiTheme="minorHAnsi"/>
          <w:sz w:val="24"/>
          <w:szCs w:val="24"/>
        </w:rPr>
        <w:t xml:space="preserve"> będą stanowiły dwa osobne obszary regulacyjne</w:t>
      </w:r>
      <w:r w:rsidR="00BE7466">
        <w:rPr>
          <w:rFonts w:asciiTheme="minorHAnsi" w:hAnsiTheme="minorHAnsi"/>
          <w:sz w:val="24"/>
          <w:szCs w:val="24"/>
        </w:rPr>
        <w:t xml:space="preserve"> i pra</w:t>
      </w:r>
      <w:r>
        <w:rPr>
          <w:rFonts w:asciiTheme="minorHAnsi" w:hAnsiTheme="minorHAnsi"/>
          <w:sz w:val="24"/>
          <w:szCs w:val="24"/>
        </w:rPr>
        <w:t xml:space="preserve">wne.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Oznacza to, że wszystkie produkty wywożone</w:t>
      </w:r>
      <w:r w:rsidR="00BE7466">
        <w:rPr>
          <w:rFonts w:asciiTheme="minorHAnsi" w:hAnsiTheme="minorHAnsi"/>
          <w:sz w:val="24"/>
          <w:szCs w:val="24"/>
        </w:rPr>
        <w:t xml:space="preserve"> z Uni</w:t>
      </w:r>
      <w:r>
        <w:rPr>
          <w:rFonts w:asciiTheme="minorHAnsi" w:hAnsiTheme="minorHAnsi"/>
          <w:sz w:val="24"/>
          <w:szCs w:val="24"/>
        </w:rPr>
        <w:t>i do Zjednoczonego Królestwa będą musiały być zgodne</w:t>
      </w:r>
      <w:r w:rsidR="00BE7466">
        <w:rPr>
          <w:rFonts w:asciiTheme="minorHAnsi" w:hAnsiTheme="minorHAnsi"/>
          <w:sz w:val="24"/>
          <w:szCs w:val="24"/>
        </w:rPr>
        <w:t xml:space="preserve"> z prz</w:t>
      </w:r>
      <w:r>
        <w:rPr>
          <w:rFonts w:asciiTheme="minorHAnsi" w:hAnsiTheme="minorHAnsi"/>
          <w:sz w:val="24"/>
          <w:szCs w:val="24"/>
        </w:rPr>
        <w:t>episami</w:t>
      </w:r>
      <w:r w:rsidR="00BE7466">
        <w:rPr>
          <w:rFonts w:asciiTheme="minorHAnsi" w:hAnsiTheme="minorHAnsi"/>
          <w:sz w:val="24"/>
          <w:szCs w:val="24"/>
        </w:rPr>
        <w:t xml:space="preserve"> i nor</w:t>
      </w:r>
      <w:r>
        <w:rPr>
          <w:rFonts w:asciiTheme="minorHAnsi" w:hAnsiTheme="minorHAnsi"/>
          <w:sz w:val="24"/>
          <w:szCs w:val="24"/>
        </w:rPr>
        <w:t>mami Zjednoczonego Królestwa oraz że będą podlegać wszelkim stosownym kontrolom przestrzegania uregulowań dotyczących przywozu. Podobnie wszystkie produkty przywożone ze Z</w:t>
      </w:r>
      <w:r>
        <w:rPr>
          <w:rFonts w:asciiTheme="minorHAnsi" w:hAnsiTheme="minorHAnsi"/>
          <w:sz w:val="24"/>
        </w:rPr>
        <w:t>jednoczonego Królestwa</w:t>
      </w:r>
      <w:r>
        <w:rPr>
          <w:rFonts w:asciiTheme="minorHAnsi" w:hAnsiTheme="minorHAnsi"/>
          <w:sz w:val="24"/>
          <w:szCs w:val="24"/>
        </w:rPr>
        <w:t xml:space="preserve"> do Unii będą musiały być zgodne</w:t>
      </w:r>
      <w:r w:rsidR="00BE7466">
        <w:rPr>
          <w:rFonts w:asciiTheme="minorHAnsi" w:hAnsiTheme="minorHAnsi"/>
          <w:sz w:val="24"/>
          <w:szCs w:val="24"/>
        </w:rPr>
        <w:t xml:space="preserve"> z prz</w:t>
      </w:r>
      <w:r>
        <w:rPr>
          <w:rFonts w:asciiTheme="minorHAnsi" w:hAnsiTheme="minorHAnsi"/>
          <w:sz w:val="24"/>
          <w:szCs w:val="24"/>
        </w:rPr>
        <w:t>episami</w:t>
      </w:r>
      <w:r w:rsidR="00BE7466">
        <w:rPr>
          <w:rFonts w:asciiTheme="minorHAnsi" w:hAnsiTheme="minorHAnsi"/>
          <w:sz w:val="24"/>
          <w:szCs w:val="24"/>
        </w:rPr>
        <w:t xml:space="preserve"> i nor</w:t>
      </w:r>
      <w:r>
        <w:rPr>
          <w:rFonts w:asciiTheme="minorHAnsi" w:hAnsiTheme="minorHAnsi"/>
          <w:sz w:val="24"/>
          <w:szCs w:val="24"/>
        </w:rPr>
        <w:t>mami Zjednoczonego Królestwa oraz będą podlegać wszelkim stosownym kontrolom przestrzegania uregulowań dotyczących przywozu do celów bezpieczeństwa, zdrowia oraz innych celów polityki publicznej.</w:t>
      </w:r>
    </w:p>
    <w:p w:rsidR="005B5E63" w:rsidRDefault="00B858F1">
      <w:pPr>
        <w:jc w:val="both"/>
        <w:rPr>
          <w:rFonts w:asciiTheme="minorHAnsi" w:hAnsiTheme="minorHAnsi" w:cstheme="minorHAnsi"/>
          <w:sz w:val="24"/>
          <w:szCs w:val="24"/>
        </w:rPr>
      </w:pPr>
      <w:r>
        <w:rPr>
          <w:rFonts w:asciiTheme="minorHAnsi" w:hAnsiTheme="minorHAnsi"/>
          <w:sz w:val="24"/>
          <w:szCs w:val="24"/>
        </w:rPr>
        <w:t>Przedsiębiorstwa UE, które obecnie prowadzą dystrybucję produktów pochodzących ze Zjednoczonego Królestwa, zostaną eksporterami lub importerami</w:t>
      </w:r>
      <w:r>
        <w:t xml:space="preserve"> </w:t>
      </w:r>
      <w:r>
        <w:rPr>
          <w:rFonts w:asciiTheme="minorHAnsi" w:hAnsiTheme="minorHAnsi"/>
          <w:sz w:val="24"/>
          <w:szCs w:val="24"/>
        </w:rPr>
        <w:t>produktów, które wprowadzają na rynek Unii. Oznacza to, że przedsiębiorstwa te będą musiały wypełniać obowiązki eksportera lub importera</w:t>
      </w:r>
      <w:r>
        <w:t xml:space="preserve"> </w:t>
      </w:r>
      <w:r>
        <w:rPr>
          <w:rFonts w:asciiTheme="minorHAnsi" w:hAnsiTheme="minorHAnsi"/>
          <w:sz w:val="24"/>
          <w:szCs w:val="24"/>
        </w:rPr>
        <w:t>zgodnie</w:t>
      </w:r>
      <w:r w:rsidR="00BE7466">
        <w:rPr>
          <w:rFonts w:asciiTheme="minorHAnsi" w:hAnsiTheme="minorHAnsi"/>
          <w:sz w:val="24"/>
          <w:szCs w:val="24"/>
        </w:rPr>
        <w:t xml:space="preserve"> z maj</w:t>
      </w:r>
      <w:r>
        <w:rPr>
          <w:rFonts w:asciiTheme="minorHAnsi" w:hAnsiTheme="minorHAnsi"/>
          <w:sz w:val="24"/>
          <w:szCs w:val="24"/>
        </w:rPr>
        <w:t>ącymi zastosowanie unijnymi przepisami.</w:t>
      </w:r>
    </w:p>
    <w:p w:rsidR="005B5E63" w:rsidRDefault="00B858F1">
      <w:pPr>
        <w:jc w:val="both"/>
        <w:rPr>
          <w:rFonts w:asciiTheme="minorHAnsi" w:hAnsiTheme="minorHAnsi" w:cstheme="minorHAnsi"/>
          <w:sz w:val="24"/>
          <w:szCs w:val="24"/>
        </w:rPr>
      </w:pPr>
      <w:r>
        <w:rPr>
          <w:rFonts w:asciiTheme="minorHAnsi" w:hAnsiTheme="minorHAnsi"/>
          <w:sz w:val="24"/>
          <w:szCs w:val="24"/>
        </w:rPr>
        <w:t>Jeżeli chodzi</w:t>
      </w:r>
      <w:r w:rsidR="00BE7466">
        <w:rPr>
          <w:rFonts w:asciiTheme="minorHAnsi" w:hAnsiTheme="minorHAnsi"/>
          <w:sz w:val="24"/>
          <w:szCs w:val="24"/>
        </w:rPr>
        <w:t xml:space="preserve"> o zez</w:t>
      </w:r>
      <w:r>
        <w:rPr>
          <w:rFonts w:asciiTheme="minorHAnsi" w:hAnsiTheme="minorHAnsi"/>
          <w:sz w:val="24"/>
          <w:szCs w:val="24"/>
        </w:rPr>
        <w:t>wolenia</w:t>
      </w:r>
      <w:r w:rsidR="00BE7466">
        <w:rPr>
          <w:rFonts w:asciiTheme="minorHAnsi" w:hAnsiTheme="minorHAnsi"/>
          <w:sz w:val="24"/>
          <w:szCs w:val="24"/>
        </w:rPr>
        <w:t xml:space="preserve"> i cer</w:t>
      </w:r>
      <w:r>
        <w:rPr>
          <w:rFonts w:asciiTheme="minorHAnsi" w:hAnsiTheme="minorHAnsi"/>
          <w:sz w:val="24"/>
          <w:szCs w:val="24"/>
        </w:rPr>
        <w:t>tyfikację produktów po stronie Unii:</w:t>
      </w:r>
    </w:p>
    <w:p w:rsidR="005B5E63" w:rsidRDefault="00B858F1">
      <w:pPr>
        <w:pStyle w:val="Akapitzlist"/>
        <w:numPr>
          <w:ilvl w:val="0"/>
          <w:numId w:val="40"/>
        </w:numPr>
        <w:spacing w:after="120"/>
        <w:ind w:left="357" w:hanging="357"/>
        <w:contextualSpacing w:val="0"/>
        <w:jc w:val="both"/>
        <w:rPr>
          <w:rFonts w:asciiTheme="minorHAnsi" w:hAnsiTheme="minorHAnsi" w:cstheme="minorHAnsi"/>
          <w:sz w:val="24"/>
          <w:szCs w:val="24"/>
        </w:rPr>
      </w:pPr>
      <w:r>
        <w:rPr>
          <w:rFonts w:asciiTheme="minorHAnsi" w:hAnsiTheme="minorHAnsi"/>
          <w:sz w:val="24"/>
          <w:szCs w:val="24"/>
        </w:rPr>
        <w:t>Świadectwa lub zezwolenia wydawane przez organy Zjednoczonego Królestwa lub przez organy</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w:t>
      </w:r>
      <w:r w:rsidR="00BE7466">
        <w:rPr>
          <w:rFonts w:asciiTheme="minorHAnsi" w:hAnsiTheme="minorHAnsi"/>
          <w:sz w:val="24"/>
        </w:rPr>
        <w:t>je</w:t>
      </w:r>
      <w:r>
        <w:rPr>
          <w:rFonts w:asciiTheme="minorHAnsi" w:hAnsiTheme="minorHAnsi"/>
          <w:sz w:val="24"/>
        </w:rPr>
        <w:t>dnoczonym Królestwie</w:t>
      </w:r>
      <w:r>
        <w:rPr>
          <w:rFonts w:asciiTheme="minorHAnsi" w:hAnsiTheme="minorHAnsi"/>
          <w:sz w:val="24"/>
          <w:szCs w:val="24"/>
        </w:rPr>
        <w:t xml:space="preserve"> nie będą już ważne</w:t>
      </w:r>
      <w:r w:rsidR="00BE7466">
        <w:rPr>
          <w:rFonts w:asciiTheme="minorHAnsi" w:hAnsiTheme="minorHAnsi"/>
          <w:sz w:val="24"/>
          <w:szCs w:val="24"/>
        </w:rPr>
        <w:t xml:space="preserve"> w odn</w:t>
      </w:r>
      <w:r>
        <w:rPr>
          <w:rFonts w:asciiTheme="minorHAnsi" w:hAnsiTheme="minorHAnsi"/>
          <w:sz w:val="24"/>
          <w:szCs w:val="24"/>
        </w:rPr>
        <w:t>iesieniu do wprowadzania produktów na rynek Unii. Oznacza to na przykład, że na rynek Unii nie można już wprowadzać pojazdu silnikowego posiadającego homologację typu wydaną przez Z</w:t>
      </w:r>
      <w:r>
        <w:rPr>
          <w:rFonts w:asciiTheme="minorHAnsi" w:hAnsiTheme="minorHAnsi"/>
          <w:sz w:val="24"/>
        </w:rPr>
        <w:t>jednoczone Królestwo</w:t>
      </w:r>
      <w:r w:rsidR="00BE7466">
        <w:rPr>
          <w:rFonts w:asciiTheme="minorHAnsi" w:hAnsiTheme="minorHAnsi"/>
          <w:sz w:val="24"/>
          <w:szCs w:val="24"/>
        </w:rPr>
        <w:t>. W prz</w:t>
      </w:r>
      <w:r>
        <w:rPr>
          <w:rFonts w:asciiTheme="minorHAnsi" w:hAnsiTheme="minorHAnsi"/>
          <w:sz w:val="24"/>
          <w:szCs w:val="24"/>
        </w:rPr>
        <w:t>ypadku gdy na mocy unijnych przepisów wymaga się certyfikacji przez jednostkę notyfikowaną UE – np.</w:t>
      </w:r>
      <w:r w:rsidR="00BE7466">
        <w:rPr>
          <w:rFonts w:asciiTheme="minorHAnsi" w:hAnsiTheme="minorHAnsi"/>
          <w:sz w:val="24"/>
          <w:szCs w:val="24"/>
        </w:rPr>
        <w:t xml:space="preserve"> w prz</w:t>
      </w:r>
      <w:r>
        <w:rPr>
          <w:rFonts w:asciiTheme="minorHAnsi" w:hAnsiTheme="minorHAnsi"/>
          <w:sz w:val="24"/>
          <w:szCs w:val="24"/>
        </w:rPr>
        <w:t>ypadku niektórych wyrobów medycznych, maszyn, środków ochrony indywidualnej lub wyrobów budowlanych – produktów, które posiadają certyfikację organów</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Zje</w:t>
      </w:r>
      <w:r>
        <w:rPr>
          <w:rFonts w:asciiTheme="minorHAnsi" w:hAnsiTheme="minorHAnsi"/>
          <w:sz w:val="24"/>
          <w:szCs w:val="24"/>
        </w:rPr>
        <w:t xml:space="preserve">dnoczonym Królestwie, nie będzie już można wprowadzać na rynek Unii. </w:t>
      </w:r>
    </w:p>
    <w:p w:rsidR="005B5E63" w:rsidRDefault="00B858F1">
      <w:pPr>
        <w:pStyle w:val="Akapitzlist"/>
        <w:numPr>
          <w:ilvl w:val="0"/>
          <w:numId w:val="40"/>
        </w:numPr>
        <w:spacing w:after="120"/>
        <w:ind w:left="284" w:hanging="284"/>
        <w:contextualSpacing w:val="0"/>
        <w:jc w:val="both"/>
        <w:rPr>
          <w:rFonts w:asciiTheme="minorHAnsi" w:hAnsiTheme="minorHAnsi" w:cstheme="minorHAnsi"/>
          <w:sz w:val="24"/>
          <w:szCs w:val="24"/>
        </w:rPr>
      </w:pPr>
      <w:r>
        <w:rPr>
          <w:rFonts w:asciiTheme="minorHAnsi" w:hAnsiTheme="minorHAnsi"/>
          <w:sz w:val="24"/>
          <w:szCs w:val="24"/>
        </w:rPr>
        <w:t>W przypadku gdy na podstawie przepisów unijnych wymaga się rejestracji produktów</w:t>
      </w:r>
      <w:r w:rsidR="00BE7466">
        <w:rPr>
          <w:rFonts w:asciiTheme="minorHAnsi" w:hAnsiTheme="minorHAnsi"/>
          <w:sz w:val="24"/>
          <w:szCs w:val="24"/>
        </w:rPr>
        <w:t xml:space="preserve"> w baz</w:t>
      </w:r>
      <w:r>
        <w:rPr>
          <w:rFonts w:asciiTheme="minorHAnsi" w:hAnsiTheme="minorHAnsi"/>
          <w:sz w:val="24"/>
          <w:szCs w:val="24"/>
        </w:rPr>
        <w:t>ach danych, takiej rejestracji może dokonać importer</w:t>
      </w:r>
      <w:r w:rsidR="00BE7466">
        <w:rPr>
          <w:rFonts w:asciiTheme="minorHAnsi" w:hAnsiTheme="minorHAnsi"/>
          <w:sz w:val="24"/>
          <w:szCs w:val="24"/>
        </w:rPr>
        <w:t xml:space="preserve"> w Uni</w:t>
      </w:r>
      <w:r>
        <w:rPr>
          <w:rFonts w:asciiTheme="minorHAnsi" w:hAnsiTheme="minorHAnsi"/>
          <w:sz w:val="24"/>
          <w:szCs w:val="24"/>
        </w:rPr>
        <w:t>i lub upoważniony przedstawiciel producenta ze Zjednoczonego Królestwa</w:t>
      </w:r>
      <w:r>
        <w:rPr>
          <w:rStyle w:val="Odwoanieprzypisudolnego"/>
          <w:rFonts w:asciiTheme="minorHAnsi" w:hAnsiTheme="minorHAnsi" w:cstheme="minorHAnsi"/>
          <w:sz w:val="24"/>
          <w:szCs w:val="24"/>
        </w:rPr>
        <w:footnoteReference w:id="14"/>
      </w:r>
      <w:r>
        <w:rPr>
          <w:rFonts w:asciiTheme="minorHAnsi" w:hAnsiTheme="minorHAnsi"/>
          <w:sz w:val="24"/>
          <w:szCs w:val="24"/>
        </w:rPr>
        <w:t>.</w:t>
      </w:r>
    </w:p>
    <w:p w:rsidR="005B5E63" w:rsidRDefault="00B858F1">
      <w:pPr>
        <w:pStyle w:val="Akapitzlist"/>
        <w:numPr>
          <w:ilvl w:val="0"/>
          <w:numId w:val="40"/>
        </w:numPr>
        <w:spacing w:after="120"/>
        <w:ind w:left="357" w:hanging="357"/>
        <w:contextualSpacing w:val="0"/>
        <w:jc w:val="both"/>
        <w:rPr>
          <w:rFonts w:asciiTheme="minorHAnsi" w:hAnsiTheme="minorHAnsi" w:cstheme="minorHAnsi"/>
          <w:sz w:val="24"/>
          <w:szCs w:val="24"/>
        </w:rPr>
      </w:pPr>
      <w:r>
        <w:rPr>
          <w:rFonts w:asciiTheme="minorHAnsi" w:hAnsiTheme="minorHAnsi"/>
          <w:sz w:val="24"/>
          <w:szCs w:val="24"/>
        </w:rPr>
        <w:lastRenderedPageBreak/>
        <w:t>W przypadku gdy przepisy unijne przewidują</w:t>
      </w:r>
      <w:r w:rsidR="00BE7466">
        <w:rPr>
          <w:rFonts w:asciiTheme="minorHAnsi" w:hAnsiTheme="minorHAnsi"/>
          <w:sz w:val="24"/>
          <w:szCs w:val="24"/>
        </w:rPr>
        <w:t xml:space="preserve"> w sto</w:t>
      </w:r>
      <w:r>
        <w:rPr>
          <w:rFonts w:asciiTheme="minorHAnsi" w:hAnsiTheme="minorHAnsi"/>
          <w:sz w:val="24"/>
          <w:szCs w:val="24"/>
        </w:rPr>
        <w:t>sunku do niektórych podmiotów gospodarczych lub innych osób fizycznych lub prawnych (np. upoważnionych przedstawicieli producentów</w:t>
      </w:r>
      <w:r w:rsidR="00BE7466">
        <w:rPr>
          <w:rFonts w:asciiTheme="minorHAnsi" w:hAnsiTheme="minorHAnsi"/>
          <w:sz w:val="24"/>
          <w:szCs w:val="24"/>
        </w:rPr>
        <w:t xml:space="preserve"> z pań</w:t>
      </w:r>
      <w:r>
        <w:rPr>
          <w:rFonts w:asciiTheme="minorHAnsi" w:hAnsiTheme="minorHAnsi"/>
          <w:sz w:val="24"/>
          <w:szCs w:val="24"/>
        </w:rPr>
        <w:t>stw trzecich lub „osób odpowiedzialnych” za przestrzeganie uregulowań) wymóg posiadania siedziby</w:t>
      </w:r>
      <w:r w:rsidR="00BE7466">
        <w:rPr>
          <w:rFonts w:asciiTheme="minorHAnsi" w:hAnsiTheme="minorHAnsi"/>
          <w:sz w:val="24"/>
          <w:szCs w:val="24"/>
        </w:rPr>
        <w:t xml:space="preserve"> w Uni</w:t>
      </w:r>
      <w:r>
        <w:rPr>
          <w:rFonts w:asciiTheme="minorHAnsi" w:hAnsiTheme="minorHAnsi"/>
          <w:sz w:val="24"/>
          <w:szCs w:val="24"/>
        </w:rPr>
        <w:t>i, siedziba</w:t>
      </w:r>
      <w:r w:rsidR="00BE7466">
        <w:rPr>
          <w:rFonts w:asciiTheme="minorHAnsi" w:hAnsiTheme="minorHAnsi"/>
          <w:sz w:val="24"/>
          <w:szCs w:val="24"/>
        </w:rPr>
        <w:t xml:space="preserve"> w Z</w:t>
      </w:r>
      <w:r w:rsidR="00BE7466">
        <w:rPr>
          <w:rFonts w:asciiTheme="minorHAnsi" w:hAnsiTheme="minorHAnsi"/>
          <w:sz w:val="24"/>
        </w:rPr>
        <w:t>je</w:t>
      </w:r>
      <w:r>
        <w:rPr>
          <w:rFonts w:asciiTheme="minorHAnsi" w:hAnsiTheme="minorHAnsi"/>
          <w:sz w:val="24"/>
        </w:rPr>
        <w:t>dnoczonym Królestwie</w:t>
      </w:r>
      <w:r>
        <w:rPr>
          <w:rFonts w:asciiTheme="minorHAnsi" w:hAnsiTheme="minorHAnsi"/>
          <w:sz w:val="24"/>
          <w:szCs w:val="24"/>
        </w:rPr>
        <w:t xml:space="preserve"> nie będzie już uznawana</w:t>
      </w:r>
      <w:r w:rsidR="00BE7466">
        <w:rPr>
          <w:rFonts w:asciiTheme="minorHAnsi" w:hAnsiTheme="minorHAnsi"/>
          <w:sz w:val="24"/>
          <w:szCs w:val="24"/>
        </w:rPr>
        <w:t xml:space="preserve"> w Uni</w:t>
      </w:r>
      <w:r>
        <w:rPr>
          <w:rFonts w:asciiTheme="minorHAnsi" w:hAnsiTheme="minorHAnsi"/>
          <w:sz w:val="24"/>
          <w:szCs w:val="24"/>
        </w:rPr>
        <w:t>i. Oznacza to, że konieczne będzie przeniesienie upoważnionego przedstawiciela/osoby odpowiedzialnej ze Z</w:t>
      </w:r>
      <w:r>
        <w:rPr>
          <w:rFonts w:asciiTheme="minorHAnsi" w:hAnsiTheme="minorHAnsi"/>
          <w:sz w:val="24"/>
        </w:rPr>
        <w:t>jednoczonego Królestwa</w:t>
      </w:r>
      <w:r>
        <w:rPr>
          <w:rFonts w:asciiTheme="minorHAnsi" w:hAnsiTheme="minorHAnsi"/>
          <w:sz w:val="24"/>
          <w:szCs w:val="24"/>
        </w:rPr>
        <w:t xml:space="preserve"> do Unii lub wyznaczenie nowego upoważnionego przedstawiciela/osoby odpowiedzialnej</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Uni</w:t>
      </w:r>
      <w:r>
        <w:rPr>
          <w:rFonts w:asciiTheme="minorHAnsi" w:hAnsiTheme="minorHAnsi"/>
          <w:sz w:val="24"/>
          <w:szCs w:val="24"/>
        </w:rPr>
        <w:t xml:space="preserve">i Europejskiej. </w:t>
      </w:r>
    </w:p>
    <w:p w:rsidR="005B5E63" w:rsidRDefault="00B858F1">
      <w:pPr>
        <w:pStyle w:val="Akapitzlist"/>
        <w:numPr>
          <w:ilvl w:val="0"/>
          <w:numId w:val="40"/>
        </w:numPr>
        <w:spacing w:after="120"/>
        <w:ind w:left="357" w:hanging="357"/>
        <w:contextualSpacing w:val="0"/>
        <w:jc w:val="both"/>
        <w:rPr>
          <w:rFonts w:asciiTheme="minorHAnsi" w:hAnsiTheme="minorHAnsi" w:cstheme="minorHAnsi"/>
          <w:sz w:val="24"/>
          <w:szCs w:val="24"/>
        </w:rPr>
      </w:pPr>
      <w:r>
        <w:rPr>
          <w:rFonts w:asciiTheme="minorHAnsi" w:hAnsiTheme="minorHAnsi"/>
          <w:sz w:val="24"/>
          <w:szCs w:val="24"/>
        </w:rPr>
        <w:t>Oznaczenia lub etykietowanie produktów wprowadzanych na rynek Unii odnoszące się do organów lub osób mających siedzibę</w:t>
      </w:r>
      <w:r w:rsidR="00BE7466">
        <w:rPr>
          <w:rFonts w:asciiTheme="minorHAnsi" w:hAnsiTheme="minorHAnsi"/>
          <w:sz w:val="24"/>
          <w:szCs w:val="24"/>
        </w:rPr>
        <w:t xml:space="preserve"> w Z</w:t>
      </w:r>
      <w:r w:rsidR="00BE7466">
        <w:rPr>
          <w:rFonts w:asciiTheme="minorHAnsi" w:hAnsiTheme="minorHAnsi"/>
          <w:sz w:val="24"/>
        </w:rPr>
        <w:t>je</w:t>
      </w:r>
      <w:r>
        <w:rPr>
          <w:rFonts w:asciiTheme="minorHAnsi" w:hAnsiTheme="minorHAnsi"/>
          <w:sz w:val="24"/>
        </w:rPr>
        <w:t>dnoczonym Królestwie</w:t>
      </w:r>
      <w:r>
        <w:rPr>
          <w:rFonts w:asciiTheme="minorHAnsi" w:hAnsiTheme="minorHAnsi"/>
          <w:sz w:val="24"/>
          <w:szCs w:val="24"/>
        </w:rPr>
        <w:t xml:space="preserve"> nie będą już zgodne</w:t>
      </w:r>
      <w:r w:rsidR="00BE7466">
        <w:rPr>
          <w:rFonts w:asciiTheme="minorHAnsi" w:hAnsiTheme="minorHAnsi"/>
          <w:sz w:val="24"/>
          <w:szCs w:val="24"/>
        </w:rPr>
        <w:t xml:space="preserve"> z uni</w:t>
      </w:r>
      <w:r>
        <w:rPr>
          <w:rFonts w:asciiTheme="minorHAnsi" w:hAnsiTheme="minorHAnsi"/>
          <w:sz w:val="24"/>
          <w:szCs w:val="24"/>
        </w:rPr>
        <w:t>jnymi przepisami dotyczącymi etykietowania.</w:t>
      </w:r>
    </w:p>
    <w:p w:rsidR="005B5E63" w:rsidRDefault="00B858F1">
      <w:pPr>
        <w:spacing w:after="180"/>
        <w:jc w:val="both"/>
        <w:rPr>
          <w:rFonts w:asciiTheme="minorHAnsi" w:hAnsiTheme="minorHAnsi" w:cstheme="minorHAnsi"/>
          <w:iCs/>
          <w:sz w:val="24"/>
          <w:szCs w:val="24"/>
        </w:rPr>
      </w:pPr>
      <w:r>
        <w:rPr>
          <w:rFonts w:asciiTheme="minorHAnsi" w:hAnsiTheme="minorHAnsi"/>
          <w:iCs/>
          <w:sz w:val="24"/>
          <w:szCs w:val="24"/>
        </w:rPr>
        <w:t>Ponadto unijne przepisy zakazujące przywozu/wywozu niektórych towarów lub ograniczające przywóz/wywóz niektórych towarów</w:t>
      </w:r>
      <w:r>
        <w:rPr>
          <w:vertAlign w:val="superscript"/>
        </w:rPr>
        <w:footnoteReference w:id="15"/>
      </w:r>
      <w:r>
        <w:rPr>
          <w:rFonts w:asciiTheme="minorHAnsi" w:hAnsiTheme="minorHAnsi"/>
          <w:iCs/>
          <w:sz w:val="24"/>
          <w:szCs w:val="24"/>
        </w:rPr>
        <w:t xml:space="preserve"> ze względów związanych</w:t>
      </w:r>
      <w:r w:rsidR="00BE7466">
        <w:rPr>
          <w:rFonts w:asciiTheme="minorHAnsi" w:hAnsiTheme="minorHAnsi"/>
          <w:iCs/>
          <w:sz w:val="24"/>
          <w:szCs w:val="24"/>
        </w:rPr>
        <w:t xml:space="preserve"> z pol</w:t>
      </w:r>
      <w:r>
        <w:rPr>
          <w:rFonts w:asciiTheme="minorHAnsi" w:hAnsiTheme="minorHAnsi"/>
          <w:iCs/>
          <w:sz w:val="24"/>
          <w:szCs w:val="24"/>
        </w:rPr>
        <w:t xml:space="preserve">ityką publiczną, takich jak ochrona zdrowia, bezpieczeństwo, ochrona środowiska, będą miały zastosowanie do wymiany handlowej ze </w:t>
      </w:r>
      <w:r>
        <w:rPr>
          <w:rFonts w:asciiTheme="minorHAnsi" w:hAnsiTheme="minorHAnsi"/>
          <w:sz w:val="24"/>
          <w:szCs w:val="24"/>
        </w:rPr>
        <w:t>Z</w:t>
      </w:r>
      <w:r>
        <w:rPr>
          <w:rFonts w:asciiTheme="minorHAnsi" w:hAnsiTheme="minorHAnsi"/>
          <w:sz w:val="24"/>
        </w:rPr>
        <w:t>jednoczonym Królestwem</w:t>
      </w:r>
      <w:r>
        <w:rPr>
          <w:rFonts w:asciiTheme="minorHAnsi" w:hAnsiTheme="minorHAnsi"/>
          <w:sz w:val="24"/>
          <w:szCs w:val="24"/>
        </w:rPr>
        <w:t xml:space="preserve"> </w:t>
      </w:r>
      <w:r>
        <w:rPr>
          <w:rFonts w:asciiTheme="minorHAnsi" w:hAnsiTheme="minorHAnsi"/>
          <w:iCs/>
          <w:sz w:val="24"/>
          <w:szCs w:val="24"/>
        </w:rPr>
        <w:t>jako państwem trzecim.</w:t>
      </w:r>
    </w:p>
    <w:tbl>
      <w:tblPr>
        <w:tblStyle w:val="Tabela-Siatka"/>
        <w:tblW w:w="0" w:type="auto"/>
        <w:tblLook w:val="04A0"/>
      </w:tblPr>
      <w:tblGrid>
        <w:gridCol w:w="4644"/>
        <w:gridCol w:w="4644"/>
      </w:tblGrid>
      <w:tr w:rsidR="005B5E63">
        <w:tc>
          <w:tcPr>
            <w:tcW w:w="9288" w:type="dxa"/>
            <w:gridSpan w:val="2"/>
          </w:tcPr>
          <w:p w:rsidR="005B5E63" w:rsidRDefault="00B858F1">
            <w:pPr>
              <w:pStyle w:val="Nagwek4"/>
              <w:outlineLvl w:val="3"/>
            </w:pPr>
            <w:r>
              <w:t xml:space="preserve">Przykłady zgodności sektorowej </w:t>
            </w:r>
          </w:p>
        </w:tc>
      </w:tr>
      <w:tr w:rsidR="005B5E63">
        <w:tc>
          <w:tcPr>
            <w:tcW w:w="4644" w:type="dxa"/>
          </w:tcPr>
          <w:p w:rsidR="005B5E63" w:rsidRDefault="00B858F1">
            <w:pPr>
              <w:spacing w:after="180"/>
              <w:jc w:val="both"/>
              <w:rPr>
                <w:rFonts w:asciiTheme="minorHAnsi" w:hAnsiTheme="minorHAnsi" w:cstheme="minorHAnsi"/>
                <w:i/>
                <w:sz w:val="24"/>
                <w:szCs w:val="24"/>
              </w:rPr>
            </w:pPr>
            <w:r>
              <w:rPr>
                <w:rFonts w:asciiTheme="minorHAnsi" w:hAnsiTheme="minorHAnsi"/>
                <w:i/>
                <w:sz w:val="24"/>
                <w:szCs w:val="24"/>
              </w:rPr>
              <w:t>Produkty chemiczne</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sidR="00BE7466">
              <w:rPr>
                <w:rFonts w:asciiTheme="minorHAnsi" w:hAnsiTheme="minorHAnsi"/>
                <w:sz w:val="24"/>
                <w:szCs w:val="24"/>
              </w:rPr>
              <w:t xml:space="preserve"> w Zje</w:t>
            </w:r>
            <w:r>
              <w:rPr>
                <w:rFonts w:asciiTheme="minorHAnsi" w:hAnsiTheme="minorHAnsi"/>
                <w:sz w:val="24"/>
                <w:szCs w:val="24"/>
              </w:rPr>
              <w:t>dnoczonym Królestwie nie będą już miały zastosowania przepisy unijne dotyczące rejestracji, oceny, udzielania zezwoleń</w:t>
            </w:r>
            <w:r w:rsidR="00BE7466">
              <w:rPr>
                <w:rFonts w:asciiTheme="minorHAnsi" w:hAnsiTheme="minorHAnsi"/>
                <w:sz w:val="24"/>
                <w:szCs w:val="24"/>
              </w:rPr>
              <w:t xml:space="preserve"> i sto</w:t>
            </w:r>
            <w:r>
              <w:rPr>
                <w:rFonts w:asciiTheme="minorHAnsi" w:hAnsiTheme="minorHAnsi"/>
                <w:sz w:val="24"/>
                <w:szCs w:val="24"/>
              </w:rPr>
              <w:t>sowanych ograniczeń</w:t>
            </w:r>
            <w:r w:rsidR="00BE7466">
              <w:rPr>
                <w:rFonts w:asciiTheme="minorHAnsi" w:hAnsiTheme="minorHAnsi"/>
                <w:sz w:val="24"/>
                <w:szCs w:val="24"/>
              </w:rPr>
              <w:t xml:space="preserve"> w zak</w:t>
            </w:r>
            <w:r>
              <w:rPr>
                <w:rFonts w:asciiTheme="minorHAnsi" w:hAnsiTheme="minorHAnsi"/>
                <w:sz w:val="24"/>
                <w:szCs w:val="24"/>
              </w:rPr>
              <w:t>resie chemikaliów (REACH)</w:t>
            </w:r>
            <w:r>
              <w:rPr>
                <w:rFonts w:asciiTheme="minorHAnsi" w:hAnsiTheme="minorHAnsi" w:cstheme="minorHAnsi"/>
                <w:sz w:val="24"/>
                <w:szCs w:val="24"/>
                <w:vertAlign w:val="superscript"/>
              </w:rPr>
              <w:footnoteReference w:id="16"/>
            </w:r>
            <w:r>
              <w:rPr>
                <w:rFonts w:asciiTheme="minorHAnsi" w:hAnsiTheme="minorHAnsi"/>
                <w:sz w:val="24"/>
                <w:szCs w:val="24"/>
              </w:rPr>
              <w:t>.</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Rejestracje dokonane przez producentów</w:t>
            </w:r>
            <w:r w:rsidR="00BE7466">
              <w:rPr>
                <w:rFonts w:asciiTheme="minorHAnsi" w:hAnsiTheme="minorHAnsi"/>
                <w:sz w:val="24"/>
                <w:szCs w:val="24"/>
              </w:rPr>
              <w:t xml:space="preserve"> i wyt</w:t>
            </w:r>
            <w:r>
              <w:rPr>
                <w:rFonts w:asciiTheme="minorHAnsi" w:hAnsiTheme="minorHAnsi"/>
                <w:sz w:val="24"/>
                <w:szCs w:val="24"/>
              </w:rPr>
              <w:t>wórców mających siedzibę</w:t>
            </w:r>
            <w:r w:rsidR="00BE7466">
              <w:rPr>
                <w:rFonts w:asciiTheme="minorHAnsi" w:hAnsiTheme="minorHAnsi"/>
                <w:sz w:val="24"/>
                <w:szCs w:val="24"/>
              </w:rPr>
              <w:t xml:space="preserve"> w Z</w:t>
            </w:r>
            <w:r w:rsidR="00BE7466">
              <w:rPr>
                <w:rFonts w:asciiTheme="minorHAnsi" w:hAnsiTheme="minorHAnsi"/>
                <w:sz w:val="24"/>
              </w:rPr>
              <w:t>je</w:t>
            </w:r>
            <w:r>
              <w:rPr>
                <w:rFonts w:asciiTheme="minorHAnsi" w:hAnsiTheme="minorHAnsi"/>
                <w:sz w:val="24"/>
              </w:rPr>
              <w:t>dnoczonym Królestwie</w:t>
            </w:r>
            <w:r>
              <w:rPr>
                <w:rFonts w:asciiTheme="minorHAnsi" w:hAnsiTheme="minorHAnsi"/>
                <w:sz w:val="24"/>
                <w:szCs w:val="24"/>
              </w:rPr>
              <w:t xml:space="preserve"> nie będą już ważne</w:t>
            </w:r>
            <w:r w:rsidR="00BE7466">
              <w:rPr>
                <w:rFonts w:asciiTheme="minorHAnsi" w:hAnsiTheme="minorHAnsi"/>
                <w:sz w:val="24"/>
                <w:szCs w:val="24"/>
              </w:rPr>
              <w:t xml:space="preserve"> w Uni</w:t>
            </w:r>
            <w:r>
              <w:rPr>
                <w:rFonts w:asciiTheme="minorHAnsi" w:hAnsiTheme="minorHAnsi"/>
                <w:sz w:val="24"/>
                <w:szCs w:val="24"/>
              </w:rPr>
              <w:t>i Europejskiej. Podmioty te będą musiały zapewnić, aby ich substancje były zarejestrowane</w:t>
            </w:r>
            <w:r w:rsidR="00BE7466">
              <w:rPr>
                <w:rFonts w:asciiTheme="minorHAnsi" w:hAnsiTheme="minorHAnsi"/>
                <w:sz w:val="24"/>
                <w:szCs w:val="24"/>
              </w:rPr>
              <w:t xml:space="preserve"> u pro</w:t>
            </w:r>
            <w:r>
              <w:rPr>
                <w:rFonts w:asciiTheme="minorHAnsi" w:hAnsiTheme="minorHAnsi"/>
                <w:sz w:val="24"/>
                <w:szCs w:val="24"/>
              </w:rPr>
              <w:t>ducenta lub importera</w:t>
            </w:r>
            <w:r w:rsidR="00BE7466">
              <w:rPr>
                <w:rFonts w:asciiTheme="minorHAnsi" w:hAnsiTheme="minorHAnsi"/>
                <w:sz w:val="24"/>
                <w:szCs w:val="24"/>
              </w:rPr>
              <w:t xml:space="preserve"> w Uni</w:t>
            </w:r>
            <w:r>
              <w:rPr>
                <w:rFonts w:asciiTheme="minorHAnsi" w:hAnsiTheme="minorHAnsi"/>
                <w:sz w:val="24"/>
                <w:szCs w:val="24"/>
              </w:rPr>
              <w:t>i Europejskiej, lub będą musiały wyznaczyć „wyłącznego przedstawiciela”</w:t>
            </w:r>
            <w:r w:rsidR="00BE7466">
              <w:rPr>
                <w:rFonts w:asciiTheme="minorHAnsi" w:hAnsiTheme="minorHAnsi"/>
                <w:sz w:val="24"/>
                <w:szCs w:val="24"/>
              </w:rPr>
              <w:t xml:space="preserve"> w Uni</w:t>
            </w:r>
            <w:r>
              <w:rPr>
                <w:rFonts w:asciiTheme="minorHAnsi" w:hAnsiTheme="minorHAnsi"/>
                <w:sz w:val="24"/>
                <w:szCs w:val="24"/>
              </w:rPr>
              <w:t>i Europejskiej jako rejestrującego dla danej substancji.</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 xml:space="preserve">Dalsi użytkownicy będą musieli kontrolować, </w:t>
            </w:r>
            <w:r>
              <w:rPr>
                <w:rFonts w:asciiTheme="minorHAnsi" w:hAnsiTheme="minorHAnsi"/>
                <w:sz w:val="24"/>
                <w:szCs w:val="24"/>
              </w:rPr>
              <w:lastRenderedPageBreak/>
              <w:t>czy substancje, których używają, są zarejestrowane przez rejestrującego</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Uni</w:t>
            </w:r>
            <w:r>
              <w:rPr>
                <w:rFonts w:asciiTheme="minorHAnsi" w:hAnsiTheme="minorHAnsi"/>
                <w:sz w:val="24"/>
                <w:szCs w:val="24"/>
              </w:rPr>
              <w:t>i Europejskiej. Jeżeli nie, powinni:</w:t>
            </w:r>
          </w:p>
          <w:p w:rsidR="005B5E63" w:rsidRDefault="00B858F1">
            <w:pPr>
              <w:numPr>
                <w:ilvl w:val="0"/>
                <w:numId w:val="43"/>
              </w:numPr>
              <w:spacing w:after="120"/>
              <w:jc w:val="both"/>
              <w:rPr>
                <w:rFonts w:asciiTheme="minorHAnsi" w:hAnsiTheme="minorHAnsi" w:cstheme="minorHAnsi"/>
                <w:sz w:val="24"/>
                <w:szCs w:val="24"/>
              </w:rPr>
            </w:pPr>
            <w:r>
              <w:rPr>
                <w:rFonts w:asciiTheme="minorHAnsi" w:hAnsiTheme="minorHAnsi"/>
                <w:sz w:val="24"/>
                <w:szCs w:val="24"/>
              </w:rPr>
              <w:t>odpowiednio dostosować swój łańcuch dostaw (tj. znaleźć innego dostawcę);</w:t>
            </w:r>
          </w:p>
          <w:p w:rsidR="005B5E63" w:rsidRDefault="00B858F1">
            <w:pPr>
              <w:numPr>
                <w:ilvl w:val="0"/>
                <w:numId w:val="43"/>
              </w:numPr>
              <w:spacing w:after="120"/>
              <w:jc w:val="both"/>
              <w:rPr>
                <w:rFonts w:asciiTheme="minorHAnsi" w:hAnsiTheme="minorHAnsi" w:cstheme="minorHAnsi"/>
                <w:sz w:val="24"/>
                <w:szCs w:val="24"/>
              </w:rPr>
            </w:pPr>
            <w:r>
              <w:rPr>
                <w:rFonts w:asciiTheme="minorHAnsi" w:hAnsiTheme="minorHAnsi"/>
                <w:sz w:val="24"/>
                <w:szCs w:val="24"/>
              </w:rPr>
              <w:t>sprawdzić, czy rejestrujący ze Zjednoczonego Królestwa,</w:t>
            </w:r>
            <w:r w:rsidR="00BE7466">
              <w:rPr>
                <w:rFonts w:asciiTheme="minorHAnsi" w:hAnsiTheme="minorHAnsi"/>
                <w:sz w:val="24"/>
                <w:szCs w:val="24"/>
              </w:rPr>
              <w:t xml:space="preserve"> z któ</w:t>
            </w:r>
            <w:r>
              <w:rPr>
                <w:rFonts w:asciiTheme="minorHAnsi" w:hAnsiTheme="minorHAnsi"/>
                <w:sz w:val="24"/>
                <w:szCs w:val="24"/>
              </w:rPr>
              <w:t>rym współpracują, zamierza wyznaczyć „wyłącznego przedstawiciela”</w:t>
            </w:r>
            <w:r w:rsidR="00BE7466">
              <w:rPr>
                <w:rFonts w:asciiTheme="minorHAnsi" w:hAnsiTheme="minorHAnsi"/>
                <w:sz w:val="24"/>
                <w:szCs w:val="24"/>
              </w:rPr>
              <w:t xml:space="preserve"> w Uni</w:t>
            </w:r>
            <w:r>
              <w:rPr>
                <w:rFonts w:asciiTheme="minorHAnsi" w:hAnsiTheme="minorHAnsi"/>
                <w:sz w:val="24"/>
                <w:szCs w:val="24"/>
              </w:rPr>
              <w:t>i Europejskiej lub</w:t>
            </w:r>
          </w:p>
          <w:p w:rsidR="005B5E63" w:rsidRDefault="00B858F1">
            <w:pPr>
              <w:numPr>
                <w:ilvl w:val="0"/>
                <w:numId w:val="43"/>
              </w:numPr>
              <w:spacing w:after="120"/>
              <w:jc w:val="both"/>
              <w:rPr>
                <w:rFonts w:asciiTheme="minorHAnsi" w:hAnsiTheme="minorHAnsi" w:cstheme="minorHAnsi"/>
                <w:iCs/>
                <w:sz w:val="24"/>
                <w:szCs w:val="24"/>
              </w:rPr>
            </w:pPr>
            <w:r>
              <w:rPr>
                <w:rFonts w:asciiTheme="minorHAnsi" w:hAnsiTheme="minorHAnsi"/>
                <w:sz w:val="24"/>
                <w:szCs w:val="24"/>
              </w:rPr>
              <w:t>zarejestrować substancję</w:t>
            </w:r>
            <w:r w:rsidR="00BE7466">
              <w:rPr>
                <w:rFonts w:asciiTheme="minorHAnsi" w:hAnsiTheme="minorHAnsi"/>
                <w:sz w:val="24"/>
                <w:szCs w:val="24"/>
              </w:rPr>
              <w:t xml:space="preserve"> w cha</w:t>
            </w:r>
            <w:r>
              <w:rPr>
                <w:rFonts w:asciiTheme="minorHAnsi" w:hAnsiTheme="minorHAnsi"/>
                <w:sz w:val="24"/>
                <w:szCs w:val="24"/>
              </w:rPr>
              <w:t>rakterze importera.</w:t>
            </w:r>
          </w:p>
        </w:tc>
        <w:tc>
          <w:tcPr>
            <w:tcW w:w="4644" w:type="dxa"/>
          </w:tcPr>
          <w:p w:rsidR="005B5E63" w:rsidRDefault="00B858F1">
            <w:pPr>
              <w:spacing w:after="180"/>
              <w:jc w:val="both"/>
              <w:rPr>
                <w:rFonts w:asciiTheme="minorHAnsi" w:hAnsiTheme="minorHAnsi" w:cstheme="minorHAnsi"/>
                <w:i/>
                <w:sz w:val="24"/>
                <w:szCs w:val="24"/>
              </w:rPr>
            </w:pPr>
            <w:r>
              <w:rPr>
                <w:rFonts w:asciiTheme="minorHAnsi" w:hAnsiTheme="minorHAnsi"/>
                <w:i/>
                <w:sz w:val="24"/>
                <w:szCs w:val="24"/>
              </w:rPr>
              <w:lastRenderedPageBreak/>
              <w:t>Produkty zdrowotne (wyroby medyczne</w:t>
            </w:r>
            <w:r w:rsidR="00BE7466">
              <w:rPr>
                <w:rFonts w:asciiTheme="minorHAnsi" w:hAnsiTheme="minorHAnsi"/>
                <w:i/>
                <w:sz w:val="24"/>
                <w:szCs w:val="24"/>
              </w:rPr>
              <w:t xml:space="preserve"> i pro</w:t>
            </w:r>
            <w:r>
              <w:rPr>
                <w:rFonts w:asciiTheme="minorHAnsi" w:hAnsiTheme="minorHAnsi"/>
                <w:i/>
                <w:sz w:val="24"/>
                <w:szCs w:val="24"/>
              </w:rPr>
              <w:t>dukty lecznicze stosowane</w:t>
            </w:r>
            <w:r w:rsidR="00BE7466">
              <w:rPr>
                <w:rFonts w:asciiTheme="minorHAnsi" w:hAnsiTheme="minorHAnsi"/>
                <w:i/>
                <w:sz w:val="24"/>
                <w:szCs w:val="24"/>
              </w:rPr>
              <w:t xml:space="preserve"> u lud</w:t>
            </w:r>
            <w:r>
              <w:rPr>
                <w:rFonts w:asciiTheme="minorHAnsi" w:hAnsiTheme="minorHAnsi"/>
                <w:i/>
                <w:sz w:val="24"/>
                <w:szCs w:val="24"/>
              </w:rPr>
              <w:t>zi lub zwierząt)</w:t>
            </w:r>
          </w:p>
          <w:p w:rsidR="005B5E63" w:rsidRDefault="00B858F1">
            <w:pPr>
              <w:spacing w:after="180"/>
              <w:jc w:val="both"/>
              <w:rPr>
                <w:rFonts w:asciiTheme="minorHAnsi" w:hAnsiTheme="minorHAnsi" w:cstheme="minorHAnsi"/>
                <w:sz w:val="24"/>
                <w:szCs w:val="24"/>
              </w:rPr>
            </w:pPr>
            <w:r>
              <w:rPr>
                <w:rFonts w:asciiTheme="minorHAnsi" w:hAnsiTheme="minorHAnsi"/>
                <w:sz w:val="24"/>
                <w:szCs w:val="24"/>
              </w:rPr>
              <w:t>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Z</w:t>
            </w:r>
            <w:r>
              <w:rPr>
                <w:rFonts w:asciiTheme="minorHAnsi" w:hAnsiTheme="minorHAnsi"/>
                <w:sz w:val="24"/>
              </w:rPr>
              <w:t>jednoczone Królestwo</w:t>
            </w:r>
            <w:r>
              <w:rPr>
                <w:rFonts w:asciiTheme="minorHAnsi" w:hAnsiTheme="minorHAnsi"/>
                <w:sz w:val="24"/>
                <w:szCs w:val="24"/>
              </w:rPr>
              <w:t xml:space="preserve"> wystąpi</w:t>
            </w:r>
            <w:r w:rsidR="00BE7466">
              <w:rPr>
                <w:rFonts w:asciiTheme="minorHAnsi" w:hAnsiTheme="minorHAnsi"/>
                <w:sz w:val="24"/>
                <w:szCs w:val="24"/>
              </w:rPr>
              <w:t xml:space="preserve"> z uni</w:t>
            </w:r>
            <w:r>
              <w:rPr>
                <w:rFonts w:asciiTheme="minorHAnsi" w:hAnsiTheme="minorHAnsi"/>
                <w:sz w:val="24"/>
                <w:szCs w:val="24"/>
              </w:rPr>
              <w:t>jnego systemu regulacji produktów leczniczych</w:t>
            </w:r>
            <w:r w:rsidR="00BE7466">
              <w:rPr>
                <w:rFonts w:asciiTheme="minorHAnsi" w:hAnsiTheme="minorHAnsi"/>
                <w:sz w:val="24"/>
                <w:szCs w:val="24"/>
              </w:rPr>
              <w:t xml:space="preserve"> i wyr</w:t>
            </w:r>
            <w:r>
              <w:rPr>
                <w:rFonts w:asciiTheme="minorHAnsi" w:hAnsiTheme="minorHAnsi"/>
                <w:sz w:val="24"/>
                <w:szCs w:val="24"/>
              </w:rPr>
              <w:t>obów medycznych.</w:t>
            </w:r>
          </w:p>
          <w:p w:rsidR="005B5E63" w:rsidRDefault="00B858F1">
            <w:pPr>
              <w:spacing w:after="180"/>
              <w:jc w:val="both"/>
              <w:rPr>
                <w:rFonts w:asciiTheme="minorHAnsi" w:hAnsiTheme="minorHAnsi" w:cstheme="minorHAnsi"/>
                <w:sz w:val="24"/>
                <w:szCs w:val="24"/>
              </w:rPr>
            </w:pPr>
            <w:r>
              <w:rPr>
                <w:rFonts w:asciiTheme="minorHAnsi" w:hAnsiTheme="minorHAnsi"/>
                <w:sz w:val="24"/>
                <w:szCs w:val="24"/>
              </w:rPr>
              <w:t>W rezultacie:</w:t>
            </w:r>
          </w:p>
          <w:p w:rsidR="005B5E63" w:rsidRDefault="00B858F1">
            <w:pPr>
              <w:pStyle w:val="Akapitzlist"/>
              <w:numPr>
                <w:ilvl w:val="0"/>
                <w:numId w:val="44"/>
              </w:numPr>
              <w:spacing w:after="180"/>
              <w:jc w:val="both"/>
              <w:rPr>
                <w:rFonts w:asciiTheme="minorHAnsi" w:hAnsiTheme="minorHAnsi" w:cstheme="minorHAnsi"/>
                <w:sz w:val="24"/>
                <w:szCs w:val="24"/>
              </w:rPr>
            </w:pPr>
            <w:r>
              <w:rPr>
                <w:rFonts w:asciiTheme="minorHAnsi" w:hAnsiTheme="minorHAnsi"/>
                <w:sz w:val="24"/>
                <w:szCs w:val="24"/>
              </w:rPr>
              <w:t>wszyscy posiadacze pozwoleń na dopuszczenie do obrotu muszą mieć siedzibę</w:t>
            </w:r>
            <w:r w:rsidR="00BE7466">
              <w:rPr>
                <w:rFonts w:asciiTheme="minorHAnsi" w:hAnsiTheme="minorHAnsi"/>
                <w:sz w:val="24"/>
                <w:szCs w:val="24"/>
              </w:rPr>
              <w:t xml:space="preserve"> w Uni</w:t>
            </w:r>
            <w:r>
              <w:rPr>
                <w:rFonts w:asciiTheme="minorHAnsi" w:hAnsiTheme="minorHAnsi"/>
                <w:sz w:val="24"/>
                <w:szCs w:val="24"/>
              </w:rPr>
              <w:t>i Europejskiej;</w:t>
            </w:r>
          </w:p>
          <w:p w:rsidR="005B5E63" w:rsidRDefault="00B858F1">
            <w:pPr>
              <w:pStyle w:val="Akapitzlist"/>
              <w:numPr>
                <w:ilvl w:val="0"/>
                <w:numId w:val="44"/>
              </w:numPr>
              <w:spacing w:after="180"/>
              <w:jc w:val="both"/>
              <w:rPr>
                <w:rFonts w:asciiTheme="minorHAnsi" w:hAnsiTheme="minorHAnsi" w:cstheme="minorHAnsi"/>
                <w:sz w:val="24"/>
                <w:szCs w:val="24"/>
              </w:rPr>
            </w:pPr>
            <w:r>
              <w:rPr>
                <w:rFonts w:asciiTheme="minorHAnsi" w:hAnsiTheme="minorHAnsi"/>
                <w:sz w:val="24"/>
                <w:szCs w:val="24"/>
              </w:rPr>
              <w:t>miejsca prowadzenia badań</w:t>
            </w:r>
            <w:r w:rsidR="00BE7466">
              <w:rPr>
                <w:rFonts w:asciiTheme="minorHAnsi" w:hAnsiTheme="minorHAnsi"/>
                <w:sz w:val="24"/>
                <w:szCs w:val="24"/>
              </w:rPr>
              <w:t xml:space="preserve"> i zwa</w:t>
            </w:r>
            <w:r>
              <w:rPr>
                <w:rFonts w:asciiTheme="minorHAnsi" w:hAnsiTheme="minorHAnsi"/>
                <w:sz w:val="24"/>
                <w:szCs w:val="24"/>
              </w:rPr>
              <w:t>lniania serii będą musiały znajdować się</w:t>
            </w:r>
            <w:r w:rsidR="00BE7466">
              <w:rPr>
                <w:rFonts w:asciiTheme="minorHAnsi" w:hAnsiTheme="minorHAnsi"/>
                <w:sz w:val="24"/>
                <w:szCs w:val="24"/>
              </w:rPr>
              <w:t xml:space="preserve"> w Uni</w:t>
            </w:r>
            <w:r>
              <w:rPr>
                <w:rFonts w:asciiTheme="minorHAnsi" w:hAnsiTheme="minorHAnsi"/>
                <w:sz w:val="24"/>
                <w:szCs w:val="24"/>
              </w:rPr>
              <w:t xml:space="preserve">i Europejskiej; </w:t>
            </w:r>
          </w:p>
          <w:p w:rsidR="005B5E63" w:rsidRDefault="00B858F1">
            <w:pPr>
              <w:pStyle w:val="Akapitzlist"/>
              <w:numPr>
                <w:ilvl w:val="0"/>
                <w:numId w:val="44"/>
              </w:numPr>
              <w:spacing w:after="180"/>
              <w:jc w:val="both"/>
              <w:rPr>
                <w:rFonts w:asciiTheme="minorHAnsi" w:hAnsiTheme="minorHAnsi" w:cstheme="minorHAnsi"/>
                <w:sz w:val="24"/>
                <w:szCs w:val="24"/>
              </w:rPr>
            </w:pPr>
            <w:r>
              <w:rPr>
                <w:rFonts w:asciiTheme="minorHAnsi" w:hAnsiTheme="minorHAnsi"/>
                <w:sz w:val="24"/>
                <w:szCs w:val="24"/>
              </w:rPr>
              <w:t>wykwalifikowane osoby odpowiedzialne za nadzór nad bezpieczeństwem farmakoterapii</w:t>
            </w:r>
            <w:r w:rsidR="00BE7466">
              <w:rPr>
                <w:rFonts w:asciiTheme="minorHAnsi" w:hAnsiTheme="minorHAnsi"/>
                <w:sz w:val="24"/>
                <w:szCs w:val="24"/>
              </w:rPr>
              <w:t xml:space="preserve"> i zwa</w:t>
            </w:r>
            <w:r>
              <w:rPr>
                <w:rFonts w:asciiTheme="minorHAnsi" w:hAnsiTheme="minorHAnsi"/>
                <w:sz w:val="24"/>
                <w:szCs w:val="24"/>
              </w:rPr>
              <w:t xml:space="preserve">lnianie serii (w tym za badane produkty lecznicze) będą </w:t>
            </w:r>
            <w:r>
              <w:rPr>
                <w:rFonts w:asciiTheme="minorHAnsi" w:hAnsiTheme="minorHAnsi"/>
                <w:sz w:val="24"/>
                <w:szCs w:val="24"/>
              </w:rPr>
              <w:lastRenderedPageBreak/>
              <w:t>musiały mieć siedzibę</w:t>
            </w:r>
            <w:r w:rsidR="00BE7466">
              <w:rPr>
                <w:rFonts w:asciiTheme="minorHAnsi" w:hAnsiTheme="minorHAnsi"/>
                <w:sz w:val="24"/>
                <w:szCs w:val="24"/>
              </w:rPr>
              <w:t xml:space="preserve"> w Uni</w:t>
            </w:r>
            <w:r>
              <w:rPr>
                <w:rFonts w:asciiTheme="minorHAnsi" w:hAnsiTheme="minorHAnsi"/>
                <w:sz w:val="24"/>
                <w:szCs w:val="24"/>
              </w:rPr>
              <w:t>i Europejskiej;</w:t>
            </w:r>
          </w:p>
          <w:p w:rsidR="005B5E63" w:rsidRDefault="00B858F1">
            <w:pPr>
              <w:pStyle w:val="Akapitzlist"/>
              <w:numPr>
                <w:ilvl w:val="0"/>
                <w:numId w:val="44"/>
              </w:numPr>
              <w:spacing w:after="180"/>
              <w:jc w:val="both"/>
              <w:rPr>
                <w:rFonts w:asciiTheme="minorHAnsi" w:hAnsiTheme="minorHAnsi" w:cstheme="minorHAnsi"/>
                <w:sz w:val="24"/>
                <w:szCs w:val="24"/>
              </w:rPr>
            </w:pPr>
            <w:r>
              <w:rPr>
                <w:rFonts w:asciiTheme="minorHAnsi" w:hAnsiTheme="minorHAnsi"/>
                <w:sz w:val="24"/>
                <w:szCs w:val="24"/>
              </w:rPr>
              <w:t>wszelkie badania kliniczne dopuszczone</w:t>
            </w:r>
            <w:r w:rsidR="00BE7466">
              <w:rPr>
                <w:rFonts w:asciiTheme="minorHAnsi" w:hAnsiTheme="minorHAnsi"/>
                <w:sz w:val="24"/>
                <w:szCs w:val="24"/>
              </w:rPr>
              <w:t xml:space="preserve"> w Uni</w:t>
            </w:r>
            <w:r>
              <w:rPr>
                <w:rFonts w:asciiTheme="minorHAnsi" w:hAnsiTheme="minorHAnsi"/>
                <w:sz w:val="24"/>
                <w:szCs w:val="24"/>
              </w:rPr>
              <w:t>i będą musiały mieć sponsora lub przedstawiciela prawnego</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Uni</w:t>
            </w:r>
            <w:r>
              <w:rPr>
                <w:rFonts w:asciiTheme="minorHAnsi" w:hAnsiTheme="minorHAnsi"/>
                <w:sz w:val="24"/>
                <w:szCs w:val="24"/>
              </w:rPr>
              <w:t>i Europejskiej;</w:t>
            </w:r>
          </w:p>
          <w:p w:rsidR="005B5E63" w:rsidRDefault="00B858F1">
            <w:pPr>
              <w:pStyle w:val="Akapitzlist"/>
              <w:numPr>
                <w:ilvl w:val="0"/>
                <w:numId w:val="44"/>
              </w:numPr>
              <w:spacing w:after="180"/>
              <w:jc w:val="both"/>
              <w:rPr>
                <w:rFonts w:asciiTheme="minorHAnsi" w:hAnsiTheme="minorHAnsi" w:cstheme="minorHAnsi"/>
                <w:sz w:val="24"/>
                <w:szCs w:val="24"/>
              </w:rPr>
            </w:pPr>
            <w:r>
              <w:rPr>
                <w:rFonts w:asciiTheme="minorHAnsi" w:hAnsiTheme="minorHAnsi"/>
                <w:sz w:val="24"/>
                <w:szCs w:val="24"/>
              </w:rPr>
              <w:t>informacje oraz etykietowanie będą musiały spełniać unijne wymogi,</w:t>
            </w:r>
            <w:r w:rsidR="00BE7466">
              <w:rPr>
                <w:rFonts w:asciiTheme="minorHAnsi" w:hAnsiTheme="minorHAnsi"/>
                <w:sz w:val="24"/>
                <w:szCs w:val="24"/>
              </w:rPr>
              <w:t xml:space="preserve"> w tym</w:t>
            </w:r>
            <w:r>
              <w:rPr>
                <w:rFonts w:asciiTheme="minorHAnsi" w:hAnsiTheme="minorHAnsi"/>
                <w:sz w:val="24"/>
                <w:szCs w:val="24"/>
              </w:rPr>
              <w:t xml:space="preserve"> jeżeli chodzi</w:t>
            </w:r>
            <w:r w:rsidR="00BE7466">
              <w:rPr>
                <w:rFonts w:asciiTheme="minorHAnsi" w:hAnsiTheme="minorHAnsi"/>
                <w:sz w:val="24"/>
                <w:szCs w:val="24"/>
              </w:rPr>
              <w:t xml:space="preserve"> o wsp</w:t>
            </w:r>
            <w:r>
              <w:rPr>
                <w:rFonts w:asciiTheme="minorHAnsi" w:hAnsiTheme="minorHAnsi"/>
                <w:sz w:val="24"/>
                <w:szCs w:val="24"/>
              </w:rPr>
              <w:t>ólne etykietowanie leków zgodnie</w:t>
            </w:r>
            <w:r w:rsidR="00BE7466">
              <w:rPr>
                <w:rFonts w:asciiTheme="minorHAnsi" w:hAnsiTheme="minorHAnsi"/>
                <w:sz w:val="24"/>
                <w:szCs w:val="24"/>
              </w:rPr>
              <w:t xml:space="preserve"> z war</w:t>
            </w:r>
            <w:r>
              <w:rPr>
                <w:rFonts w:asciiTheme="minorHAnsi" w:hAnsiTheme="minorHAnsi"/>
                <w:sz w:val="24"/>
                <w:szCs w:val="24"/>
              </w:rPr>
              <w:t>unkami pozwolenia na dopuszczenie do obrotu udzielonego</w:t>
            </w:r>
            <w:r w:rsidR="00BE7466">
              <w:rPr>
                <w:rFonts w:asciiTheme="minorHAnsi" w:hAnsiTheme="minorHAnsi"/>
                <w:sz w:val="24"/>
                <w:szCs w:val="24"/>
              </w:rPr>
              <w:t xml:space="preserve"> w Zje</w:t>
            </w:r>
            <w:r>
              <w:rPr>
                <w:rFonts w:asciiTheme="minorHAnsi" w:hAnsiTheme="minorHAnsi"/>
                <w:sz w:val="24"/>
                <w:szCs w:val="24"/>
              </w:rPr>
              <w:t>dnoczonym Królestwie;</w:t>
            </w:r>
          </w:p>
          <w:p w:rsidR="005B5E63" w:rsidRDefault="00B858F1">
            <w:pPr>
              <w:pStyle w:val="Akapitzlist"/>
              <w:numPr>
                <w:ilvl w:val="0"/>
                <w:numId w:val="44"/>
              </w:numPr>
              <w:spacing w:after="180"/>
              <w:jc w:val="both"/>
              <w:rPr>
                <w:rFonts w:asciiTheme="minorHAnsi" w:hAnsiTheme="minorHAnsi" w:cstheme="minorHAnsi"/>
                <w:sz w:val="24"/>
                <w:szCs w:val="24"/>
              </w:rPr>
            </w:pPr>
            <w:r>
              <w:rPr>
                <w:rFonts w:asciiTheme="minorHAnsi" w:hAnsiTheme="minorHAnsi"/>
                <w:sz w:val="24"/>
                <w:szCs w:val="24"/>
              </w:rPr>
              <w:t>certyfikację wyrobów medycznych będą musiały przeprowadzać jednostki notyfikowane</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Uni</w:t>
            </w:r>
            <w:r>
              <w:rPr>
                <w:rFonts w:asciiTheme="minorHAnsi" w:hAnsiTheme="minorHAnsi"/>
                <w:sz w:val="24"/>
                <w:szCs w:val="24"/>
              </w:rPr>
              <w:t>i Europejskiej.</w:t>
            </w:r>
          </w:p>
        </w:tc>
      </w:tr>
    </w:tbl>
    <w:p w:rsidR="005B5E63" w:rsidRDefault="005B5E63">
      <w:pPr>
        <w:spacing w:after="180"/>
        <w:jc w:val="both"/>
        <w:rPr>
          <w:rFonts w:asciiTheme="minorHAnsi" w:hAnsiTheme="minorHAnsi" w:cstheme="minorHAnsi"/>
          <w:iCs/>
          <w:sz w:val="24"/>
          <w:szCs w:val="24"/>
        </w:rPr>
      </w:pP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unijne przedsiębiorstwa wprowadzające towary na rynek Zjednoczonego Królestwa będą musiały zapewnić zgodność ze wszystkimi właściwymi przepisami Zjednoczonego Królestwa.</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Jeżeli chodzi</w:t>
      </w:r>
      <w:r w:rsidR="00BE7466">
        <w:rPr>
          <w:rFonts w:asciiTheme="minorHAnsi" w:hAnsiTheme="minorHAnsi"/>
          <w:sz w:val="24"/>
          <w:szCs w:val="24"/>
        </w:rPr>
        <w:t xml:space="preserve"> o pro</w:t>
      </w:r>
      <w:r>
        <w:rPr>
          <w:rFonts w:asciiTheme="minorHAnsi" w:hAnsiTheme="minorHAnsi"/>
          <w:sz w:val="24"/>
          <w:szCs w:val="24"/>
        </w:rPr>
        <w:t>cesy udzielania zezwolenia</w:t>
      </w:r>
      <w:r w:rsidR="00BE7466">
        <w:rPr>
          <w:rFonts w:asciiTheme="minorHAnsi" w:hAnsiTheme="minorHAnsi"/>
          <w:sz w:val="24"/>
          <w:szCs w:val="24"/>
        </w:rPr>
        <w:t xml:space="preserve"> i cer</w:t>
      </w:r>
      <w:r>
        <w:rPr>
          <w:rFonts w:asciiTheme="minorHAnsi" w:hAnsiTheme="minorHAnsi"/>
          <w:sz w:val="24"/>
          <w:szCs w:val="24"/>
        </w:rPr>
        <w:t>tyfikacji, mimo że środki przygotowawcze należało wdrożyć już</w:t>
      </w:r>
      <w:r w:rsidR="00BE7466">
        <w:rPr>
          <w:rFonts w:asciiTheme="minorHAnsi" w:hAnsiTheme="minorHAnsi"/>
          <w:sz w:val="24"/>
          <w:szCs w:val="24"/>
        </w:rPr>
        <w:t xml:space="preserve"> w 2</w:t>
      </w:r>
      <w:r>
        <w:rPr>
          <w:rFonts w:asciiTheme="minorHAnsi" w:hAnsiTheme="minorHAnsi"/>
          <w:sz w:val="24"/>
          <w:szCs w:val="24"/>
        </w:rPr>
        <w:t>0</w:t>
      </w:r>
      <w:r w:rsidRPr="00C43387">
        <w:rPr>
          <w:rFonts w:asciiTheme="minorHAnsi" w:hAnsiTheme="minorHAnsi"/>
          <w:sz w:val="24"/>
          <w:szCs w:val="24"/>
        </w:rPr>
        <w:t>19</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przedsiębiorstwa UE powinny dokładnie sprawdzać zgodność</w:t>
      </w:r>
      <w:r w:rsidR="00BE7466">
        <w:rPr>
          <w:rFonts w:asciiTheme="minorHAnsi" w:hAnsiTheme="minorHAnsi"/>
          <w:sz w:val="24"/>
          <w:szCs w:val="24"/>
        </w:rPr>
        <w:t xml:space="preserve"> z prz</w:t>
      </w:r>
      <w:r>
        <w:rPr>
          <w:rFonts w:asciiTheme="minorHAnsi" w:hAnsiTheme="minorHAnsi"/>
          <w:sz w:val="24"/>
          <w:szCs w:val="24"/>
        </w:rPr>
        <w:t>episami na długo przed dniem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Administracje państw członkowskich UE powinny zintensyfikować działania mające na celu zwiększanie świadomości, kierując je</w:t>
      </w:r>
      <w:r w:rsidR="00BE7466">
        <w:rPr>
          <w:rFonts w:asciiTheme="minorHAnsi" w:hAnsiTheme="minorHAnsi"/>
          <w:sz w:val="24"/>
          <w:szCs w:val="24"/>
        </w:rPr>
        <w:t xml:space="preserve"> w szc</w:t>
      </w:r>
      <w:r>
        <w:rPr>
          <w:rFonts w:asciiTheme="minorHAnsi" w:hAnsiTheme="minorHAnsi"/>
          <w:sz w:val="24"/>
          <w:szCs w:val="24"/>
        </w:rPr>
        <w:t>zególności do małych</w:t>
      </w:r>
      <w:r w:rsidR="00BE7466">
        <w:rPr>
          <w:rFonts w:asciiTheme="minorHAnsi" w:hAnsiTheme="minorHAnsi"/>
          <w:sz w:val="24"/>
          <w:szCs w:val="24"/>
        </w:rPr>
        <w:t xml:space="preserve"> i śre</w:t>
      </w:r>
      <w:r>
        <w:rPr>
          <w:rFonts w:asciiTheme="minorHAnsi" w:hAnsiTheme="minorHAnsi"/>
          <w:sz w:val="24"/>
          <w:szCs w:val="24"/>
        </w:rPr>
        <w:t>dnich przedsiębiorstw.</w:t>
      </w:r>
    </w:p>
    <w:p w:rsidR="005B5E63" w:rsidRDefault="00B858F1">
      <w:pPr>
        <w:pStyle w:val="Nagwek2"/>
        <w:rPr>
          <w:rFonts w:cstheme="minorHAnsi"/>
        </w:rPr>
      </w:pPr>
      <w:bookmarkStart w:id="8" w:name="_Toc46137001"/>
      <w:r>
        <w:t>Handel usługami</w:t>
      </w:r>
      <w:bookmarkEnd w:id="8"/>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UE,</w:t>
      </w:r>
      <w:r w:rsidR="00BE7466">
        <w:rPr>
          <w:rFonts w:asciiTheme="minorHAnsi" w:hAnsiTheme="minorHAnsi"/>
          <w:sz w:val="24"/>
          <w:szCs w:val="24"/>
        </w:rPr>
        <w:t xml:space="preserve"> w tym w jed</w:t>
      </w:r>
      <w:r>
        <w:rPr>
          <w:rFonts w:asciiTheme="minorHAnsi" w:hAnsiTheme="minorHAnsi"/>
          <w:sz w:val="24"/>
          <w:szCs w:val="24"/>
        </w:rPr>
        <w:t>nolitym rynku usług</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przedsiębiorstwa ze Zjednoczonego Królestwa korzystają ze swobody przedsiębiorczości</w:t>
      </w:r>
      <w:r w:rsidR="00BE7466">
        <w:rPr>
          <w:rFonts w:asciiTheme="minorHAnsi" w:hAnsiTheme="minorHAnsi"/>
          <w:sz w:val="24"/>
          <w:szCs w:val="24"/>
        </w:rPr>
        <w:t xml:space="preserve"> i z moż</w:t>
      </w:r>
      <w:r>
        <w:rPr>
          <w:rFonts w:asciiTheme="minorHAnsi" w:hAnsiTheme="minorHAnsi"/>
          <w:sz w:val="24"/>
          <w:szCs w:val="24"/>
        </w:rPr>
        <w:t>liwości świadczenia usług</w:t>
      </w:r>
      <w:r w:rsidR="00BE7466">
        <w:rPr>
          <w:rFonts w:asciiTheme="minorHAnsi" w:hAnsiTheme="minorHAnsi"/>
          <w:sz w:val="24"/>
          <w:szCs w:val="24"/>
        </w:rPr>
        <w:t xml:space="preserve"> w każ</w:t>
      </w:r>
      <w:r>
        <w:rPr>
          <w:rFonts w:asciiTheme="minorHAnsi" w:hAnsiTheme="minorHAnsi"/>
          <w:sz w:val="24"/>
          <w:szCs w:val="24"/>
        </w:rPr>
        <w:t>dym</w:t>
      </w:r>
      <w:r w:rsidR="00BE7466">
        <w:rPr>
          <w:rFonts w:asciiTheme="minorHAnsi" w:hAnsiTheme="minorHAnsi"/>
          <w:sz w:val="24"/>
          <w:szCs w:val="24"/>
        </w:rPr>
        <w:t xml:space="preserve"> z pań</w:t>
      </w:r>
      <w:r>
        <w:rPr>
          <w:rFonts w:asciiTheme="minorHAnsi" w:hAnsiTheme="minorHAnsi"/>
          <w:sz w:val="24"/>
          <w:szCs w:val="24"/>
        </w:rPr>
        <w:t>stw członkowskich UE. Korzystają też ze wspólnego środowiska regulacyjnego</w:t>
      </w:r>
      <w:r w:rsidR="00BE7466">
        <w:rPr>
          <w:rFonts w:asciiTheme="minorHAnsi" w:hAnsiTheme="minorHAnsi"/>
          <w:sz w:val="24"/>
          <w:szCs w:val="24"/>
        </w:rPr>
        <w:t xml:space="preserve"> i nad</w:t>
      </w:r>
      <w:r>
        <w:rPr>
          <w:rFonts w:asciiTheme="minorHAnsi" w:hAnsiTheme="minorHAnsi"/>
          <w:sz w:val="24"/>
          <w:szCs w:val="24"/>
        </w:rPr>
        <w:t>zorczego, które zapewnia ramy ewentualnych środków, które mogą przyjąć organy krajowe. Środowisko to umożliwia usługodawcom także korzystanie</w:t>
      </w:r>
      <w:r w:rsidR="00BE7466">
        <w:rPr>
          <w:rFonts w:asciiTheme="minorHAnsi" w:hAnsiTheme="minorHAnsi"/>
          <w:sz w:val="24"/>
          <w:szCs w:val="24"/>
        </w:rPr>
        <w:t xml:space="preserve"> z zaa</w:t>
      </w:r>
      <w:r>
        <w:rPr>
          <w:rFonts w:asciiTheme="minorHAnsi" w:hAnsiTheme="minorHAnsi"/>
          <w:sz w:val="24"/>
          <w:szCs w:val="24"/>
        </w:rPr>
        <w:t xml:space="preserve">wansowanego systemu uznawania kwalifikacji zawodowych. </w:t>
      </w:r>
    </w:p>
    <w:p w:rsidR="005B5E63" w:rsidRDefault="00B858F1">
      <w:pPr>
        <w:jc w:val="both"/>
        <w:rPr>
          <w:rFonts w:asciiTheme="minorHAnsi" w:hAnsiTheme="minorHAnsi" w:cstheme="minorHAnsi"/>
          <w:sz w:val="24"/>
          <w:szCs w:val="24"/>
        </w:rPr>
      </w:pPr>
      <w:r>
        <w:rPr>
          <w:rFonts w:asciiTheme="minorHAnsi" w:hAnsiTheme="minorHAnsi"/>
          <w:sz w:val="24"/>
          <w:szCs w:val="24"/>
        </w:rPr>
        <w:t>Ponadto</w:t>
      </w:r>
      <w:r w:rsidR="00BE7466">
        <w:rPr>
          <w:rFonts w:asciiTheme="minorHAnsi" w:hAnsiTheme="minorHAnsi"/>
          <w:sz w:val="24"/>
          <w:szCs w:val="24"/>
        </w:rPr>
        <w:t xml:space="preserve"> w nie</w:t>
      </w:r>
      <w:r>
        <w:rPr>
          <w:rFonts w:asciiTheme="minorHAnsi" w:hAnsiTheme="minorHAnsi"/>
          <w:sz w:val="24"/>
          <w:szCs w:val="24"/>
        </w:rPr>
        <w:t>których obszarach regulowanych na poziomie Unii transgraniczna wymiana usług przynosi korzyści</w:t>
      </w:r>
      <w:r w:rsidR="00BE7466">
        <w:rPr>
          <w:rFonts w:asciiTheme="minorHAnsi" w:hAnsiTheme="minorHAnsi"/>
          <w:sz w:val="24"/>
          <w:szCs w:val="24"/>
        </w:rPr>
        <w:t xml:space="preserve"> w efe</w:t>
      </w:r>
      <w:r>
        <w:rPr>
          <w:rFonts w:asciiTheme="minorHAnsi" w:hAnsiTheme="minorHAnsi"/>
          <w:sz w:val="24"/>
          <w:szCs w:val="24"/>
        </w:rPr>
        <w:t>kcie podejścia opartego na kraju pochodzenia lub koncepcji „paszportowania”, zgodnie</w:t>
      </w:r>
      <w:r w:rsidR="00BE7466">
        <w:rPr>
          <w:rFonts w:asciiTheme="minorHAnsi" w:hAnsiTheme="minorHAnsi"/>
          <w:sz w:val="24"/>
          <w:szCs w:val="24"/>
        </w:rPr>
        <w:t xml:space="preserve"> z któ</w:t>
      </w:r>
      <w:r>
        <w:rPr>
          <w:rFonts w:asciiTheme="minorHAnsi" w:hAnsiTheme="minorHAnsi"/>
          <w:sz w:val="24"/>
          <w:szCs w:val="24"/>
        </w:rPr>
        <w:t>rą pozwolenie wydane przez jedno państwo członkowskie na podstawie unijnych przepisów jest wystarczające, aby uzyskać dostęp do całego jednolitego rynku UE dzięki harmonizacji norm, przepisów technicznych oraz ram regulacyjnych</w:t>
      </w:r>
      <w:r w:rsidR="00BE7466">
        <w:rPr>
          <w:rFonts w:asciiTheme="minorHAnsi" w:hAnsiTheme="minorHAnsi"/>
          <w:sz w:val="24"/>
          <w:szCs w:val="24"/>
        </w:rPr>
        <w:t xml:space="preserve"> </w:t>
      </w:r>
      <w:r w:rsidR="00BE7466">
        <w:rPr>
          <w:rFonts w:asciiTheme="minorHAnsi" w:hAnsiTheme="minorHAnsi"/>
          <w:sz w:val="24"/>
          <w:szCs w:val="24"/>
        </w:rPr>
        <w:lastRenderedPageBreak/>
        <w:t>i nad</w:t>
      </w:r>
      <w:r>
        <w:rPr>
          <w:rFonts w:asciiTheme="minorHAnsi" w:hAnsiTheme="minorHAnsi"/>
          <w:sz w:val="24"/>
          <w:szCs w:val="24"/>
        </w:rPr>
        <w:t>zorczych. Zasady te leżą</w:t>
      </w:r>
      <w:r w:rsidR="00BE7466">
        <w:rPr>
          <w:rFonts w:asciiTheme="minorHAnsi" w:hAnsiTheme="minorHAnsi"/>
          <w:sz w:val="24"/>
          <w:szCs w:val="24"/>
        </w:rPr>
        <w:t xml:space="preserve"> u pod</w:t>
      </w:r>
      <w:r>
        <w:rPr>
          <w:rFonts w:asciiTheme="minorHAnsi" w:hAnsiTheme="minorHAnsi"/>
          <w:sz w:val="24"/>
          <w:szCs w:val="24"/>
        </w:rPr>
        <w:t>staw swobodnego przepływu niektórych usług między krajami UE, na przykład</w:t>
      </w:r>
      <w:r w:rsidR="00BE7466">
        <w:rPr>
          <w:rFonts w:asciiTheme="minorHAnsi" w:hAnsiTheme="minorHAnsi"/>
          <w:sz w:val="24"/>
          <w:szCs w:val="24"/>
        </w:rPr>
        <w:t xml:space="preserve"> w dzi</w:t>
      </w:r>
      <w:r>
        <w:rPr>
          <w:rFonts w:asciiTheme="minorHAnsi" w:hAnsiTheme="minorHAnsi"/>
          <w:sz w:val="24"/>
          <w:szCs w:val="24"/>
        </w:rPr>
        <w:t>edzinie finansów, usług audiowizualnych lub transportu.</w:t>
      </w:r>
    </w:p>
    <w:p w:rsidR="005B5E63" w:rsidRDefault="00B858F1">
      <w:pPr>
        <w:jc w:val="both"/>
        <w:rPr>
          <w:rFonts w:asciiTheme="minorHAnsi" w:hAnsiTheme="minorHAnsi" w:cstheme="minorHAnsi"/>
          <w:sz w:val="24"/>
        </w:rPr>
      </w:pPr>
      <w:r>
        <w:rPr>
          <w:rFonts w:asciiTheme="minorHAnsi" w:hAnsiTheme="minorHAnsi"/>
          <w:b/>
          <w:sz w:val="24"/>
        </w:rPr>
        <w:t>Od dnia 1 stycznia 20</w:t>
      </w:r>
      <w:r w:rsidRPr="00C43387">
        <w:rPr>
          <w:rFonts w:asciiTheme="minorHAnsi" w:hAnsiTheme="minorHAnsi"/>
          <w:b/>
          <w:sz w:val="24"/>
        </w:rPr>
        <w:t>21</w:t>
      </w:r>
      <w:r w:rsidR="00C43387" w:rsidRPr="00C43387">
        <w:rPr>
          <w:rFonts w:asciiTheme="minorHAnsi" w:hAnsiTheme="minorHAnsi"/>
          <w:b/>
          <w:sz w:val="24"/>
        </w:rPr>
        <w:t> </w:t>
      </w:r>
      <w:r w:rsidRPr="00C43387">
        <w:rPr>
          <w:rFonts w:asciiTheme="minorHAnsi" w:hAnsiTheme="minorHAnsi"/>
          <w:b/>
          <w:sz w:val="24"/>
        </w:rPr>
        <w:t>r.</w:t>
      </w:r>
      <w:r>
        <w:rPr>
          <w:rFonts w:asciiTheme="minorHAnsi" w:hAnsiTheme="minorHAnsi"/>
          <w:sz w:val="24"/>
        </w:rPr>
        <w:t xml:space="preserve"> swoboda przedsiębiorczości oraz swoboda świadczenia usług, zgodnie</w:t>
      </w:r>
      <w:r w:rsidR="00BE7466">
        <w:rPr>
          <w:rFonts w:asciiTheme="minorHAnsi" w:hAnsiTheme="minorHAnsi"/>
          <w:sz w:val="24"/>
        </w:rPr>
        <w:t xml:space="preserve"> z uni</w:t>
      </w:r>
      <w:r>
        <w:rPr>
          <w:rFonts w:asciiTheme="minorHAnsi" w:hAnsiTheme="minorHAnsi"/>
          <w:sz w:val="24"/>
        </w:rPr>
        <w:t>jnymi traktatami, nie będzie już przynosić korzyści osobom fizycznym</w:t>
      </w:r>
      <w:r w:rsidR="00BE7466">
        <w:rPr>
          <w:rFonts w:asciiTheme="minorHAnsi" w:hAnsiTheme="minorHAnsi"/>
          <w:sz w:val="24"/>
        </w:rPr>
        <w:t xml:space="preserve"> i prz</w:t>
      </w:r>
      <w:r>
        <w:rPr>
          <w:rFonts w:asciiTheme="minorHAnsi" w:hAnsiTheme="minorHAnsi"/>
          <w:sz w:val="24"/>
        </w:rPr>
        <w:t>edsiębiorstwom ze Zjednoczonego Królestwa działającym</w:t>
      </w:r>
      <w:r w:rsidR="00BE7466">
        <w:rPr>
          <w:rFonts w:asciiTheme="minorHAnsi" w:hAnsiTheme="minorHAnsi"/>
          <w:sz w:val="24"/>
        </w:rPr>
        <w:t xml:space="preserve"> w Uni</w:t>
      </w:r>
      <w:r>
        <w:rPr>
          <w:rFonts w:asciiTheme="minorHAnsi" w:hAnsiTheme="minorHAnsi"/>
          <w:sz w:val="24"/>
        </w:rPr>
        <w:t>i Europejskiej ani osobom fizycznym</w:t>
      </w:r>
      <w:r w:rsidR="00BE7466">
        <w:rPr>
          <w:rFonts w:asciiTheme="minorHAnsi" w:hAnsiTheme="minorHAnsi"/>
          <w:sz w:val="24"/>
        </w:rPr>
        <w:t xml:space="preserve"> i prz</w:t>
      </w:r>
      <w:r>
        <w:rPr>
          <w:rFonts w:asciiTheme="minorHAnsi" w:hAnsiTheme="minorHAnsi"/>
          <w:sz w:val="24"/>
        </w:rPr>
        <w:t>edsiębiorstwom z UE działającym</w:t>
      </w:r>
      <w:r w:rsidR="00BE7466">
        <w:rPr>
          <w:rFonts w:asciiTheme="minorHAnsi" w:hAnsiTheme="minorHAnsi"/>
          <w:sz w:val="24"/>
        </w:rPr>
        <w:t xml:space="preserve"> w Zje</w:t>
      </w:r>
      <w:r>
        <w:rPr>
          <w:rFonts w:asciiTheme="minorHAnsi" w:hAnsiTheme="minorHAnsi"/>
          <w:sz w:val="24"/>
        </w:rPr>
        <w:t xml:space="preserve">dnoczonym Królestwie. </w:t>
      </w:r>
    </w:p>
    <w:p w:rsidR="005B5E63" w:rsidRPr="00C43387" w:rsidRDefault="00B858F1">
      <w:pPr>
        <w:jc w:val="both"/>
        <w:rPr>
          <w:rFonts w:asciiTheme="minorHAnsi" w:hAnsiTheme="minorHAnsi" w:cstheme="minorHAnsi"/>
          <w:sz w:val="24"/>
          <w:szCs w:val="24"/>
        </w:rPr>
      </w:pPr>
      <w:r>
        <w:rPr>
          <w:rFonts w:asciiTheme="minorHAnsi" w:hAnsiTheme="minorHAnsi"/>
          <w:sz w:val="24"/>
        </w:rPr>
        <w:t>Od dnia 1 stycznia 20</w:t>
      </w:r>
      <w:r w:rsidRPr="00C43387">
        <w:rPr>
          <w:rFonts w:asciiTheme="minorHAnsi" w:hAnsiTheme="minorHAnsi"/>
          <w:sz w:val="24"/>
        </w:rPr>
        <w:t>21</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nie będą już ważne</w:t>
      </w:r>
      <w:r w:rsidR="00BE7466">
        <w:rPr>
          <w:rFonts w:asciiTheme="minorHAnsi" w:hAnsiTheme="minorHAnsi"/>
          <w:sz w:val="24"/>
        </w:rPr>
        <w:t xml:space="preserve"> w Uni</w:t>
      </w:r>
      <w:r>
        <w:rPr>
          <w:rFonts w:asciiTheme="minorHAnsi" w:hAnsiTheme="minorHAnsi"/>
          <w:sz w:val="24"/>
        </w:rPr>
        <w:t>i pozwolenia przyznane przez organy Zjednoczonego Królestwa zgodnie</w:t>
      </w:r>
      <w:r w:rsidR="00BE7466">
        <w:rPr>
          <w:rFonts w:asciiTheme="minorHAnsi" w:hAnsiTheme="minorHAnsi"/>
          <w:sz w:val="24"/>
        </w:rPr>
        <w:t xml:space="preserve"> z ram</w:t>
      </w:r>
      <w:r>
        <w:rPr>
          <w:rFonts w:asciiTheme="minorHAnsi" w:hAnsiTheme="minorHAnsi"/>
          <w:sz w:val="24"/>
        </w:rPr>
        <w:t xml:space="preserve">ami dotyczącymi jednolitego rynku UE. Jest to </w:t>
      </w:r>
      <w:r>
        <w:rPr>
          <w:rFonts w:asciiTheme="minorHAnsi" w:hAnsiTheme="minorHAnsi"/>
          <w:sz w:val="24"/>
          <w:szCs w:val="24"/>
        </w:rPr>
        <w:t>szczególnie istotne</w:t>
      </w:r>
      <w:r w:rsidR="00BE7466">
        <w:rPr>
          <w:rFonts w:asciiTheme="minorHAnsi" w:hAnsiTheme="minorHAnsi"/>
          <w:sz w:val="24"/>
          <w:szCs w:val="24"/>
        </w:rPr>
        <w:t xml:space="preserve"> w odn</w:t>
      </w:r>
      <w:r>
        <w:rPr>
          <w:rFonts w:asciiTheme="minorHAnsi" w:hAnsiTheme="minorHAnsi"/>
          <w:sz w:val="24"/>
          <w:szCs w:val="24"/>
        </w:rPr>
        <w:t>iesieniu do dziedzin usług finansowych, transportu, mediów audiowizualnych oraz usług finansowych</w:t>
      </w:r>
      <w:r w:rsidRPr="00C43387">
        <w:rPr>
          <w:rFonts w:asciiTheme="minorHAnsi" w:hAnsiTheme="minorHAnsi"/>
          <w:sz w:val="24"/>
          <w:szCs w:val="24"/>
        </w:rPr>
        <w:t>.</w:t>
      </w:r>
      <w:r w:rsidR="00C43387" w:rsidRPr="00C43387">
        <w:rPr>
          <w:rFonts w:asciiTheme="minorHAnsi" w:hAnsiTheme="minorHAnsi"/>
          <w:sz w:val="24"/>
          <w:szCs w:val="24"/>
        </w:rPr>
        <w:t xml:space="preserve"> </w:t>
      </w:r>
    </w:p>
    <w:p w:rsidR="005B5E63" w:rsidRPr="00C43387" w:rsidRDefault="00B858F1">
      <w:pPr>
        <w:jc w:val="both"/>
        <w:rPr>
          <w:rFonts w:asciiTheme="minorHAnsi" w:hAnsiTheme="minorHAnsi" w:cstheme="minorHAnsi"/>
          <w:sz w:val="24"/>
        </w:rPr>
      </w:pPr>
      <w:r>
        <w:rPr>
          <w:rFonts w:asciiTheme="minorHAnsi" w:hAnsiTheme="minorHAnsi"/>
          <w:sz w:val="24"/>
        </w:rPr>
        <w:t>Aby uzyskać dostęp do unijnego rynku, usługodawcy</w:t>
      </w:r>
      <w:r w:rsidR="00BE7466">
        <w:rPr>
          <w:rFonts w:asciiTheme="minorHAnsi" w:hAnsiTheme="minorHAnsi"/>
          <w:sz w:val="24"/>
        </w:rPr>
        <w:t xml:space="preserve"> i spe</w:t>
      </w:r>
      <w:r>
        <w:rPr>
          <w:rFonts w:asciiTheme="minorHAnsi" w:hAnsiTheme="minorHAnsi"/>
          <w:sz w:val="24"/>
        </w:rPr>
        <w:t>cjaliści</w:t>
      </w:r>
      <w:r w:rsidR="00BE7466">
        <w:rPr>
          <w:rFonts w:asciiTheme="minorHAnsi" w:hAnsiTheme="minorHAnsi"/>
          <w:sz w:val="24"/>
        </w:rPr>
        <w:t xml:space="preserve"> w zak</w:t>
      </w:r>
      <w:r>
        <w:rPr>
          <w:rFonts w:asciiTheme="minorHAnsi" w:hAnsiTheme="minorHAnsi"/>
          <w:sz w:val="24"/>
        </w:rPr>
        <w:t>resie usług ze Zjednoczonego Królestwa mający siedzibę</w:t>
      </w:r>
      <w:r w:rsidR="00BE7466">
        <w:rPr>
          <w:rFonts w:asciiTheme="minorHAnsi" w:hAnsiTheme="minorHAnsi"/>
          <w:sz w:val="24"/>
        </w:rPr>
        <w:t xml:space="preserve"> w Zje</w:t>
      </w:r>
      <w:r>
        <w:rPr>
          <w:rFonts w:asciiTheme="minorHAnsi" w:hAnsiTheme="minorHAnsi"/>
          <w:sz w:val="24"/>
        </w:rPr>
        <w:t>dnoczonym Królestwie będą musieli wykazać zgodność</w:t>
      </w:r>
      <w:r w:rsidR="00BE7466">
        <w:rPr>
          <w:rFonts w:asciiTheme="minorHAnsi" w:hAnsiTheme="minorHAnsi"/>
          <w:sz w:val="24"/>
        </w:rPr>
        <w:t xml:space="preserve"> z wsz</w:t>
      </w:r>
      <w:r>
        <w:rPr>
          <w:rFonts w:asciiTheme="minorHAnsi" w:hAnsiTheme="minorHAnsi"/>
          <w:sz w:val="24"/>
        </w:rPr>
        <w:t>elkimi przepisami, procedurami lub pozwoleniami, które warunkują świadczenie usług</w:t>
      </w:r>
      <w:r w:rsidR="00BE7466">
        <w:rPr>
          <w:rFonts w:asciiTheme="minorHAnsi" w:hAnsiTheme="minorHAnsi"/>
          <w:sz w:val="24"/>
        </w:rPr>
        <w:t xml:space="preserve"> w Uni</w:t>
      </w:r>
      <w:r>
        <w:rPr>
          <w:rFonts w:asciiTheme="minorHAnsi" w:hAnsiTheme="minorHAnsi"/>
          <w:sz w:val="24"/>
        </w:rPr>
        <w:t>i Europejskiej przez cudzoziemców lub przedsiębiorstwa mające siedzibę poza Unią</w:t>
      </w:r>
      <w:r>
        <w:rPr>
          <w:rStyle w:val="Odwoanieprzypisudolnego"/>
          <w:rFonts w:asciiTheme="minorHAnsi" w:hAnsiTheme="minorHAnsi" w:cstheme="minorHAnsi"/>
          <w:sz w:val="24"/>
        </w:rPr>
        <w:footnoteReference w:id="17"/>
      </w:r>
      <w:r>
        <w:rPr>
          <w:rFonts w:asciiTheme="minorHAnsi" w:hAnsiTheme="minorHAnsi"/>
          <w:sz w:val="24"/>
        </w:rPr>
        <w:t>. Wymogi te mogą być określone</w:t>
      </w:r>
      <w:r w:rsidR="00BE7466">
        <w:rPr>
          <w:rFonts w:asciiTheme="minorHAnsi" w:hAnsiTheme="minorHAnsi"/>
          <w:sz w:val="24"/>
        </w:rPr>
        <w:t xml:space="preserve"> w pra</w:t>
      </w:r>
      <w:r>
        <w:rPr>
          <w:rFonts w:asciiTheme="minorHAnsi" w:hAnsiTheme="minorHAnsi"/>
          <w:sz w:val="24"/>
        </w:rPr>
        <w:t>wie Unii lub, częściej,</w:t>
      </w:r>
      <w:r w:rsidR="00BE7466">
        <w:rPr>
          <w:rFonts w:asciiTheme="minorHAnsi" w:hAnsiTheme="minorHAnsi"/>
          <w:sz w:val="24"/>
        </w:rPr>
        <w:t xml:space="preserve"> w sys</w:t>
      </w:r>
      <w:r>
        <w:rPr>
          <w:rFonts w:asciiTheme="minorHAnsi" w:hAnsiTheme="minorHAnsi"/>
          <w:sz w:val="24"/>
        </w:rPr>
        <w:t>temach krajowych, ale będą uwarunkowane zobowiązaniami podjętymi przez Unię Europejską na mocy Układu ogólnego</w:t>
      </w:r>
      <w:r w:rsidR="00BE7466">
        <w:rPr>
          <w:rFonts w:asciiTheme="minorHAnsi" w:hAnsiTheme="minorHAnsi"/>
          <w:sz w:val="24"/>
        </w:rPr>
        <w:t xml:space="preserve"> w spr</w:t>
      </w:r>
      <w:r>
        <w:rPr>
          <w:rFonts w:asciiTheme="minorHAnsi" w:hAnsiTheme="minorHAnsi"/>
          <w:sz w:val="24"/>
        </w:rPr>
        <w:t>awie handlu usługami Światowej Organizacji Handlu,</w:t>
      </w:r>
      <w:r w:rsidR="00BE7466">
        <w:rPr>
          <w:rFonts w:asciiTheme="minorHAnsi" w:hAnsiTheme="minorHAnsi"/>
          <w:sz w:val="24"/>
        </w:rPr>
        <w:t xml:space="preserve"> a tak</w:t>
      </w:r>
      <w:r>
        <w:rPr>
          <w:rFonts w:asciiTheme="minorHAnsi" w:hAnsiTheme="minorHAnsi"/>
          <w:sz w:val="24"/>
        </w:rPr>
        <w:t>że</w:t>
      </w:r>
      <w:r w:rsidR="00BE7466">
        <w:rPr>
          <w:rFonts w:asciiTheme="minorHAnsi" w:hAnsiTheme="minorHAnsi"/>
          <w:sz w:val="24"/>
        </w:rPr>
        <w:t xml:space="preserve"> w ram</w:t>
      </w:r>
      <w:r>
        <w:rPr>
          <w:rFonts w:asciiTheme="minorHAnsi" w:hAnsiTheme="minorHAnsi"/>
          <w:sz w:val="24"/>
        </w:rPr>
        <w:t>ach przyszłej umowy</w:t>
      </w:r>
      <w:r w:rsidR="00BE7466">
        <w:rPr>
          <w:rFonts w:asciiTheme="minorHAnsi" w:hAnsiTheme="minorHAnsi"/>
          <w:sz w:val="24"/>
        </w:rPr>
        <w:t xml:space="preserve"> o wza</w:t>
      </w:r>
      <w:r>
        <w:rPr>
          <w:rFonts w:asciiTheme="minorHAnsi" w:hAnsiTheme="minorHAnsi"/>
          <w:sz w:val="24"/>
        </w:rPr>
        <w:t>jemnych stosunkach ze Zjednoczonym Królestwem</w:t>
      </w:r>
      <w:r w:rsidRPr="00C43387">
        <w:rPr>
          <w:rFonts w:asciiTheme="minorHAnsi" w:hAnsiTheme="minorHAnsi"/>
          <w:sz w:val="24"/>
        </w:rPr>
        <w:t>.</w:t>
      </w:r>
      <w:r w:rsidR="00C43387" w:rsidRPr="00C43387">
        <w:rPr>
          <w:rFonts w:asciiTheme="minorHAnsi" w:hAnsiTheme="minorHAnsi"/>
          <w:sz w:val="24"/>
        </w:rPr>
        <w:t xml:space="preserve"> </w:t>
      </w:r>
    </w:p>
    <w:p w:rsidR="005B5E63" w:rsidRDefault="00B858F1">
      <w:pPr>
        <w:jc w:val="both"/>
        <w:rPr>
          <w:rFonts w:asciiTheme="minorHAnsi" w:hAnsiTheme="minorHAnsi" w:cstheme="minorHAnsi"/>
          <w:sz w:val="24"/>
        </w:rPr>
      </w:pPr>
      <w:r>
        <w:rPr>
          <w:rFonts w:asciiTheme="minorHAnsi" w:hAnsiTheme="minorHAnsi"/>
          <w:sz w:val="24"/>
        </w:rPr>
        <w:t>Podobnie usługodawcy</w:t>
      </w:r>
      <w:r w:rsidR="00BE7466">
        <w:rPr>
          <w:rFonts w:asciiTheme="minorHAnsi" w:hAnsiTheme="minorHAnsi"/>
          <w:sz w:val="24"/>
        </w:rPr>
        <w:t xml:space="preserve"> i spe</w:t>
      </w:r>
      <w:r>
        <w:rPr>
          <w:rFonts w:asciiTheme="minorHAnsi" w:hAnsiTheme="minorHAnsi"/>
          <w:sz w:val="24"/>
        </w:rPr>
        <w:t>cjaliści</w:t>
      </w:r>
      <w:r w:rsidR="00BE7466">
        <w:rPr>
          <w:rFonts w:asciiTheme="minorHAnsi" w:hAnsiTheme="minorHAnsi"/>
          <w:sz w:val="24"/>
        </w:rPr>
        <w:t xml:space="preserve"> w zak</w:t>
      </w:r>
      <w:r>
        <w:rPr>
          <w:rFonts w:asciiTheme="minorHAnsi" w:hAnsiTheme="minorHAnsi"/>
          <w:sz w:val="24"/>
        </w:rPr>
        <w:t>resie usług z UE mający siedzibę</w:t>
      </w:r>
      <w:r w:rsidR="00BE7466">
        <w:rPr>
          <w:rFonts w:asciiTheme="minorHAnsi" w:hAnsiTheme="minorHAnsi"/>
          <w:sz w:val="24"/>
        </w:rPr>
        <w:t xml:space="preserve"> w Uni</w:t>
      </w:r>
      <w:r>
        <w:rPr>
          <w:rFonts w:asciiTheme="minorHAnsi" w:hAnsiTheme="minorHAnsi"/>
          <w:sz w:val="24"/>
        </w:rPr>
        <w:t>i</w:t>
      </w:r>
      <w:r w:rsidR="00BE7466">
        <w:rPr>
          <w:rFonts w:asciiTheme="minorHAnsi" w:hAnsiTheme="minorHAnsi"/>
          <w:sz w:val="24"/>
        </w:rPr>
        <w:t xml:space="preserve"> i dzi</w:t>
      </w:r>
      <w:r>
        <w:rPr>
          <w:rFonts w:asciiTheme="minorHAnsi" w:hAnsiTheme="minorHAnsi"/>
          <w:sz w:val="24"/>
        </w:rPr>
        <w:t>ałający</w:t>
      </w:r>
      <w:r w:rsidR="00BE7466">
        <w:rPr>
          <w:rFonts w:asciiTheme="minorHAnsi" w:hAnsiTheme="minorHAnsi"/>
          <w:sz w:val="24"/>
        </w:rPr>
        <w:t xml:space="preserve"> w Zje</w:t>
      </w:r>
      <w:r>
        <w:rPr>
          <w:rFonts w:asciiTheme="minorHAnsi" w:hAnsiTheme="minorHAnsi"/>
          <w:sz w:val="24"/>
        </w:rPr>
        <w:t>dnoczonym Królestwie będą musieli wykazać zgodność</w:t>
      </w:r>
      <w:r w:rsidR="00BE7466">
        <w:rPr>
          <w:rFonts w:asciiTheme="minorHAnsi" w:hAnsiTheme="minorHAnsi"/>
          <w:sz w:val="24"/>
        </w:rPr>
        <w:t xml:space="preserve"> z wsz</w:t>
      </w:r>
      <w:r>
        <w:rPr>
          <w:rFonts w:asciiTheme="minorHAnsi" w:hAnsiTheme="minorHAnsi"/>
          <w:sz w:val="24"/>
        </w:rPr>
        <w:t>elkimi odpowiednimi przepisami Zjednoczonego Królestwa.</w:t>
      </w:r>
    </w:p>
    <w:p w:rsidR="005B5E63" w:rsidRDefault="00B858F1">
      <w:pPr>
        <w:pStyle w:val="Nagwek3"/>
      </w:pPr>
      <w:bookmarkStart w:id="9" w:name="_Toc46137002"/>
      <w:r>
        <w:t>B.1. Usługi finansowe</w:t>
      </w:r>
      <w:bookmarkEnd w:id="9"/>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UE,</w:t>
      </w:r>
      <w:r w:rsidR="00BE7466">
        <w:rPr>
          <w:rFonts w:asciiTheme="minorHAnsi" w:hAnsiTheme="minorHAnsi"/>
          <w:sz w:val="24"/>
          <w:szCs w:val="24"/>
        </w:rPr>
        <w:t xml:space="preserve"> w tym w jed</w:t>
      </w:r>
      <w:r>
        <w:rPr>
          <w:rFonts w:asciiTheme="minorHAnsi" w:hAnsiTheme="minorHAnsi"/>
          <w:sz w:val="24"/>
          <w:szCs w:val="24"/>
        </w:rPr>
        <w:t>nolitym rynku usług finansowych</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możliwe jest obecnie świadczenie usług finansowych</w:t>
      </w:r>
      <w:r w:rsidR="00BE7466">
        <w:rPr>
          <w:rFonts w:asciiTheme="minorHAnsi" w:hAnsiTheme="minorHAnsi"/>
          <w:sz w:val="24"/>
          <w:szCs w:val="24"/>
        </w:rPr>
        <w:t xml:space="preserve"> z obs</w:t>
      </w:r>
      <w:r>
        <w:rPr>
          <w:rFonts w:asciiTheme="minorHAnsi" w:hAnsiTheme="minorHAnsi"/>
          <w:sz w:val="24"/>
          <w:szCs w:val="24"/>
        </w:rPr>
        <w:t>zaru Zjednoczonego Królestwa na obszar UE na podstawie jednego pozwolenia lub „paszportu”</w:t>
      </w:r>
      <w:r w:rsidR="00BE7466">
        <w:rPr>
          <w:rFonts w:asciiTheme="minorHAnsi" w:hAnsiTheme="minorHAnsi"/>
          <w:sz w:val="24"/>
          <w:szCs w:val="24"/>
        </w:rPr>
        <w:t xml:space="preserve"> w odn</w:t>
      </w:r>
      <w:r>
        <w:rPr>
          <w:rFonts w:asciiTheme="minorHAnsi" w:hAnsiTheme="minorHAnsi"/>
          <w:sz w:val="24"/>
          <w:szCs w:val="24"/>
        </w:rPr>
        <w:t>iesieniu do odpowiednich obszarów usług finansowych wydanego przez organy Zjednoczonego Królestwa. Aby świadczyć usługi finansowe na obszar Zjednoczonego Królestwa oraz</w:t>
      </w:r>
      <w:r w:rsidR="00BE7466">
        <w:rPr>
          <w:rFonts w:asciiTheme="minorHAnsi" w:hAnsiTheme="minorHAnsi"/>
          <w:sz w:val="24"/>
          <w:szCs w:val="24"/>
        </w:rPr>
        <w:t xml:space="preserve"> w Zje</w:t>
      </w:r>
      <w:r>
        <w:rPr>
          <w:rFonts w:asciiTheme="minorHAnsi" w:hAnsiTheme="minorHAnsi"/>
          <w:sz w:val="24"/>
          <w:szCs w:val="24"/>
        </w:rPr>
        <w:t>dnoczonym Królestwie, operatorzy</w:t>
      </w:r>
      <w:r w:rsidR="00BE7466">
        <w:rPr>
          <w:rFonts w:asciiTheme="minorHAnsi" w:hAnsiTheme="minorHAnsi"/>
          <w:sz w:val="24"/>
          <w:szCs w:val="24"/>
        </w:rPr>
        <w:t xml:space="preserve"> z Uni</w:t>
      </w:r>
      <w:r>
        <w:rPr>
          <w:rFonts w:asciiTheme="minorHAnsi" w:hAnsiTheme="minorHAnsi"/>
          <w:sz w:val="24"/>
          <w:szCs w:val="24"/>
        </w:rPr>
        <w:t>i mogą wykorzystywać „paszporty” swojego państwa macierzystego.</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nie będą już miały zastosowania pozwolenia na świadczenie usług</w:t>
      </w:r>
      <w:r w:rsidR="00BE7466">
        <w:rPr>
          <w:rFonts w:asciiTheme="minorHAnsi" w:hAnsiTheme="minorHAnsi"/>
          <w:sz w:val="24"/>
          <w:szCs w:val="24"/>
        </w:rPr>
        <w:t xml:space="preserve"> z obs</w:t>
      </w:r>
      <w:r>
        <w:rPr>
          <w:rFonts w:asciiTheme="minorHAnsi" w:hAnsiTheme="minorHAnsi"/>
          <w:sz w:val="24"/>
          <w:szCs w:val="24"/>
        </w:rPr>
        <w:t>zaru Zjednoczonego Królestwa</w:t>
      </w:r>
      <w:r w:rsidR="00BE7466">
        <w:rPr>
          <w:rFonts w:asciiTheme="minorHAnsi" w:hAnsiTheme="minorHAnsi"/>
          <w:sz w:val="24"/>
          <w:szCs w:val="24"/>
        </w:rPr>
        <w:t xml:space="preserve"> w cał</w:t>
      </w:r>
      <w:r>
        <w:rPr>
          <w:rFonts w:asciiTheme="minorHAnsi" w:hAnsiTheme="minorHAnsi"/>
          <w:sz w:val="24"/>
          <w:szCs w:val="24"/>
        </w:rPr>
        <w:t>ej UE. Świadczenie usług finansowych</w:t>
      </w:r>
      <w:r w:rsidR="00BE7466">
        <w:rPr>
          <w:rFonts w:asciiTheme="minorHAnsi" w:hAnsiTheme="minorHAnsi"/>
          <w:sz w:val="24"/>
          <w:szCs w:val="24"/>
        </w:rPr>
        <w:t xml:space="preserve"> z obs</w:t>
      </w:r>
      <w:r>
        <w:rPr>
          <w:rFonts w:asciiTheme="minorHAnsi" w:hAnsiTheme="minorHAnsi"/>
          <w:sz w:val="24"/>
          <w:szCs w:val="24"/>
        </w:rPr>
        <w:t xml:space="preserve">zaru Zjednoczonego Królestwa na obszar UE będzie możliwe przy spełnieniu odpowiednich przepisów dotyczących państw trzecich danego państwa członkowskiego. Unijne </w:t>
      </w:r>
      <w:r>
        <w:rPr>
          <w:rFonts w:asciiTheme="minorHAnsi" w:hAnsiTheme="minorHAnsi"/>
          <w:sz w:val="24"/>
          <w:szCs w:val="24"/>
        </w:rPr>
        <w:lastRenderedPageBreak/>
        <w:t>przedsiębiorstwa, banki lub inwestorzy, którzy obecnie korzystają</w:t>
      </w:r>
      <w:r w:rsidR="00BE7466">
        <w:rPr>
          <w:rFonts w:asciiTheme="minorHAnsi" w:hAnsiTheme="minorHAnsi"/>
          <w:sz w:val="24"/>
          <w:szCs w:val="24"/>
        </w:rPr>
        <w:t xml:space="preserve"> z tyc</w:t>
      </w:r>
      <w:r>
        <w:rPr>
          <w:rFonts w:asciiTheme="minorHAnsi" w:hAnsiTheme="minorHAnsi"/>
          <w:sz w:val="24"/>
          <w:szCs w:val="24"/>
        </w:rPr>
        <w:t>h usług, powinni mieć świadomość tej zmiany</w:t>
      </w:r>
      <w:r w:rsidR="00BE7466">
        <w:rPr>
          <w:rFonts w:asciiTheme="minorHAnsi" w:hAnsiTheme="minorHAnsi"/>
          <w:sz w:val="24"/>
          <w:szCs w:val="24"/>
        </w:rPr>
        <w:t xml:space="preserve"> i odp</w:t>
      </w:r>
      <w:r>
        <w:rPr>
          <w:rFonts w:asciiTheme="minorHAnsi" w:hAnsiTheme="minorHAnsi"/>
          <w:sz w:val="24"/>
          <w:szCs w:val="24"/>
        </w:rPr>
        <w:t>owiednio się na nią przygotować. Dostawcy usług finansowych z UE prowadzący działalność</w:t>
      </w:r>
      <w:r w:rsidR="00BE7466">
        <w:rPr>
          <w:rFonts w:asciiTheme="minorHAnsi" w:hAnsiTheme="minorHAnsi"/>
          <w:sz w:val="24"/>
          <w:szCs w:val="24"/>
        </w:rPr>
        <w:t xml:space="preserve"> w Zje</w:t>
      </w:r>
      <w:r>
        <w:rPr>
          <w:rFonts w:asciiTheme="minorHAnsi" w:hAnsiTheme="minorHAnsi"/>
          <w:sz w:val="24"/>
          <w:szCs w:val="24"/>
        </w:rPr>
        <w:t>dnoczonym Królestwie powinni również przygotować się do przestrzegania wszystkich stosownych przepisów Zjednoczonego Królestwa.</w:t>
      </w:r>
      <w: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Zgodnie</w:t>
      </w:r>
      <w:r w:rsidR="00BE7466">
        <w:rPr>
          <w:rFonts w:asciiTheme="minorHAnsi" w:hAnsiTheme="minorHAnsi"/>
          <w:sz w:val="24"/>
          <w:szCs w:val="24"/>
        </w:rPr>
        <w:t xml:space="preserve"> z ram</w:t>
      </w:r>
      <w:r>
        <w:rPr>
          <w:rFonts w:asciiTheme="minorHAnsi" w:hAnsiTheme="minorHAnsi"/>
          <w:sz w:val="24"/>
          <w:szCs w:val="24"/>
        </w:rPr>
        <w:t>ami równoważności przewidzianymi</w:t>
      </w:r>
      <w:r w:rsidR="00BE7466">
        <w:rPr>
          <w:rFonts w:asciiTheme="minorHAnsi" w:hAnsiTheme="minorHAnsi"/>
          <w:sz w:val="24"/>
          <w:szCs w:val="24"/>
        </w:rPr>
        <w:t xml:space="preserve"> w nie</w:t>
      </w:r>
      <w:r>
        <w:rPr>
          <w:rFonts w:asciiTheme="minorHAnsi" w:hAnsiTheme="minorHAnsi"/>
          <w:sz w:val="24"/>
          <w:szCs w:val="24"/>
        </w:rPr>
        <w:t>których unijnych aktach prawnych Unia Europejska ma możliwość ułatwienia konkretnych interakcji między systemami finansowymi Unii</w:t>
      </w:r>
      <w:r w:rsidR="00BE7466">
        <w:rPr>
          <w:rFonts w:asciiTheme="minorHAnsi" w:hAnsiTheme="minorHAnsi"/>
          <w:sz w:val="24"/>
          <w:szCs w:val="24"/>
        </w:rPr>
        <w:t xml:space="preserve"> i Zje</w:t>
      </w:r>
      <w:r>
        <w:rPr>
          <w:rFonts w:asciiTheme="minorHAnsi" w:hAnsiTheme="minorHAnsi"/>
          <w:sz w:val="24"/>
          <w:szCs w:val="24"/>
        </w:rPr>
        <w:t>dnoczonego Królestwa przez uznanie, że właściwe systemy regulacyjne</w:t>
      </w:r>
      <w:r w:rsidR="00BE7466">
        <w:rPr>
          <w:rFonts w:asciiTheme="minorHAnsi" w:hAnsiTheme="minorHAnsi"/>
          <w:sz w:val="24"/>
          <w:szCs w:val="24"/>
        </w:rPr>
        <w:t xml:space="preserve"> i nad</w:t>
      </w:r>
      <w:r>
        <w:rPr>
          <w:rFonts w:asciiTheme="minorHAnsi" w:hAnsiTheme="minorHAnsi"/>
          <w:sz w:val="24"/>
          <w:szCs w:val="24"/>
        </w:rPr>
        <w:t>zorcze Zjednoczonego Królestwa są równoważne</w:t>
      </w:r>
      <w:r w:rsidR="00BE7466">
        <w:rPr>
          <w:rFonts w:asciiTheme="minorHAnsi" w:hAnsiTheme="minorHAnsi"/>
          <w:sz w:val="24"/>
          <w:szCs w:val="24"/>
        </w:rPr>
        <w:t xml:space="preserve"> z ana</w:t>
      </w:r>
      <w:r>
        <w:rPr>
          <w:rFonts w:asciiTheme="minorHAnsi" w:hAnsiTheme="minorHAnsi"/>
          <w:sz w:val="24"/>
          <w:szCs w:val="24"/>
        </w:rPr>
        <w:t>logicznymi przepisami</w:t>
      </w:r>
      <w:r w:rsidR="00BE7466">
        <w:rPr>
          <w:rFonts w:asciiTheme="minorHAnsi" w:hAnsiTheme="minorHAnsi"/>
          <w:sz w:val="24"/>
          <w:szCs w:val="24"/>
        </w:rPr>
        <w:t xml:space="preserve"> i wym</w:t>
      </w:r>
      <w:r>
        <w:rPr>
          <w:rFonts w:asciiTheme="minorHAnsi" w:hAnsiTheme="minorHAnsi"/>
          <w:sz w:val="24"/>
          <w:szCs w:val="24"/>
        </w:rPr>
        <w:t>ogami Unii. Jedynie ograniczona liczba tych równoważności umożliwia przedsiębiorstwom</w:t>
      </w:r>
      <w:r w:rsidR="00BE7466">
        <w:rPr>
          <w:rFonts w:asciiTheme="minorHAnsi" w:hAnsiTheme="minorHAnsi"/>
          <w:sz w:val="24"/>
          <w:szCs w:val="24"/>
        </w:rPr>
        <w:t xml:space="preserve"> z pań</w:t>
      </w:r>
      <w:r>
        <w:rPr>
          <w:rFonts w:asciiTheme="minorHAnsi" w:hAnsiTheme="minorHAnsi"/>
          <w:sz w:val="24"/>
          <w:szCs w:val="24"/>
        </w:rPr>
        <w:t>stw trzecich świadczenie usług na rzecz klientów z UE. Przykłady obejmują dziedziny centralnych depozytów papierów wartościowych</w:t>
      </w:r>
      <w:r w:rsidR="00BE7466">
        <w:rPr>
          <w:rFonts w:asciiTheme="minorHAnsi" w:hAnsiTheme="minorHAnsi"/>
          <w:sz w:val="24"/>
          <w:szCs w:val="24"/>
        </w:rPr>
        <w:t xml:space="preserve"> i roz</w:t>
      </w:r>
      <w:r>
        <w:rPr>
          <w:rFonts w:asciiTheme="minorHAnsi" w:hAnsiTheme="minorHAnsi"/>
          <w:sz w:val="24"/>
          <w:szCs w:val="24"/>
        </w:rPr>
        <w:t>liczających kontrahentów centralnych (CCP). Konkretnie</w:t>
      </w:r>
      <w:r w:rsidR="00BE7466">
        <w:rPr>
          <w:rFonts w:asciiTheme="minorHAnsi" w:hAnsiTheme="minorHAnsi"/>
          <w:sz w:val="24"/>
          <w:szCs w:val="24"/>
        </w:rPr>
        <w:t xml:space="preserve"> w odn</w:t>
      </w:r>
      <w:r>
        <w:rPr>
          <w:rFonts w:asciiTheme="minorHAnsi" w:hAnsiTheme="minorHAnsi"/>
          <w:sz w:val="24"/>
          <w:szCs w:val="24"/>
        </w:rPr>
        <w:t>iesieniu do firm inwestycyjnych</w:t>
      </w:r>
      <w:r w:rsidR="00BE7466">
        <w:rPr>
          <w:rFonts w:asciiTheme="minorHAnsi" w:hAnsiTheme="minorHAnsi"/>
          <w:sz w:val="24"/>
          <w:szCs w:val="24"/>
        </w:rPr>
        <w:t xml:space="preserve"> w poł</w:t>
      </w:r>
      <w:r>
        <w:rPr>
          <w:rFonts w:asciiTheme="minorHAnsi" w:hAnsiTheme="minorHAnsi"/>
          <w:sz w:val="24"/>
          <w:szCs w:val="24"/>
        </w:rPr>
        <w:t>owie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wejdą</w:t>
      </w:r>
      <w:r w:rsidR="00BE7466">
        <w:rPr>
          <w:rFonts w:asciiTheme="minorHAnsi" w:hAnsiTheme="minorHAnsi"/>
          <w:sz w:val="24"/>
          <w:szCs w:val="24"/>
        </w:rPr>
        <w:t xml:space="preserve"> w życ</w:t>
      </w:r>
      <w:r>
        <w:rPr>
          <w:rFonts w:asciiTheme="minorHAnsi" w:hAnsiTheme="minorHAnsi"/>
          <w:sz w:val="24"/>
          <w:szCs w:val="24"/>
        </w:rPr>
        <w:t>ie nowe, udoskonalone ramy równoważności</w:t>
      </w:r>
      <w:r w:rsidR="00BE7466">
        <w:rPr>
          <w:rFonts w:asciiTheme="minorHAnsi" w:hAnsiTheme="minorHAnsi"/>
          <w:sz w:val="24"/>
          <w:szCs w:val="24"/>
        </w:rPr>
        <w:t>. W wię</w:t>
      </w:r>
      <w:r>
        <w:rPr>
          <w:rFonts w:asciiTheme="minorHAnsi" w:hAnsiTheme="minorHAnsi"/>
          <w:sz w:val="24"/>
          <w:szCs w:val="24"/>
        </w:rPr>
        <w:t>kszości obszarów, takich jak ubezpieczenia, udzielanie kredytów przez banki komercyjne lub przyjmowanie depozytów, równoważność nie pozwala przedsiębiorstwom</w:t>
      </w:r>
      <w:r w:rsidR="00BE7466">
        <w:rPr>
          <w:rFonts w:asciiTheme="minorHAnsi" w:hAnsiTheme="minorHAnsi"/>
          <w:sz w:val="24"/>
          <w:szCs w:val="24"/>
        </w:rPr>
        <w:t xml:space="preserve"> z pań</w:t>
      </w:r>
      <w:r>
        <w:rPr>
          <w:rFonts w:asciiTheme="minorHAnsi" w:hAnsiTheme="minorHAnsi"/>
          <w:sz w:val="24"/>
          <w:szCs w:val="24"/>
        </w:rPr>
        <w:t>stw trzecich na świadczenie usług w UE, ale zapewnia przedsiębiorstwom z UE ulgi ostrożnościowe lub</w:t>
      </w:r>
      <w:r w:rsidR="00BE7466">
        <w:rPr>
          <w:rFonts w:asciiTheme="minorHAnsi" w:hAnsiTheme="minorHAnsi"/>
          <w:sz w:val="24"/>
          <w:szCs w:val="24"/>
        </w:rPr>
        <w:t xml:space="preserve"> w zak</w:t>
      </w:r>
      <w:r>
        <w:rPr>
          <w:rFonts w:asciiTheme="minorHAnsi" w:hAnsiTheme="minorHAnsi"/>
          <w:sz w:val="24"/>
          <w:szCs w:val="24"/>
        </w:rPr>
        <w:t xml:space="preserve">resie sprawozdawczości. </w:t>
      </w:r>
    </w:p>
    <w:p w:rsidR="005B5E63" w:rsidRDefault="00B858F1">
      <w:pPr>
        <w:jc w:val="both"/>
        <w:rPr>
          <w:rFonts w:asciiTheme="minorHAnsi" w:hAnsiTheme="minorHAnsi" w:cstheme="minorHAnsi"/>
          <w:sz w:val="24"/>
          <w:szCs w:val="24"/>
        </w:rPr>
      </w:pPr>
      <w:r>
        <w:rPr>
          <w:rFonts w:asciiTheme="minorHAnsi" w:hAnsiTheme="minorHAnsi"/>
          <w:sz w:val="24"/>
          <w:szCs w:val="24"/>
        </w:rPr>
        <w:t>Unijne decyzje</w:t>
      </w:r>
      <w:r w:rsidR="00BE7466">
        <w:rPr>
          <w:rFonts w:asciiTheme="minorHAnsi" w:hAnsiTheme="minorHAnsi"/>
          <w:sz w:val="24"/>
          <w:szCs w:val="24"/>
        </w:rPr>
        <w:t xml:space="preserve"> o rów</w:t>
      </w:r>
      <w:r>
        <w:rPr>
          <w:rFonts w:asciiTheme="minorHAnsi" w:hAnsiTheme="minorHAnsi"/>
          <w:sz w:val="24"/>
          <w:szCs w:val="24"/>
        </w:rPr>
        <w:t>noważności nie powielają korzyści wynikających dla Zjednoczonego Królestwa</w:t>
      </w:r>
      <w:r w:rsidR="00BE7466">
        <w:rPr>
          <w:rFonts w:asciiTheme="minorHAnsi" w:hAnsiTheme="minorHAnsi"/>
          <w:sz w:val="24"/>
          <w:szCs w:val="24"/>
        </w:rPr>
        <w:t xml:space="preserve"> z jed</w:t>
      </w:r>
      <w:r>
        <w:rPr>
          <w:rFonts w:asciiTheme="minorHAnsi" w:hAnsiTheme="minorHAnsi"/>
          <w:sz w:val="24"/>
          <w:szCs w:val="24"/>
        </w:rPr>
        <w:t>nolitego rynku, ponieważ obowiązki</w:t>
      </w:r>
      <w:r w:rsidR="00BE7466">
        <w:rPr>
          <w:rFonts w:asciiTheme="minorHAnsi" w:hAnsiTheme="minorHAnsi"/>
          <w:sz w:val="24"/>
          <w:szCs w:val="24"/>
        </w:rPr>
        <w:t xml:space="preserve"> i zab</w:t>
      </w:r>
      <w:r>
        <w:rPr>
          <w:rFonts w:asciiTheme="minorHAnsi" w:hAnsiTheme="minorHAnsi"/>
          <w:sz w:val="24"/>
          <w:szCs w:val="24"/>
        </w:rPr>
        <w:t>ezpieczenia wynikające</w:t>
      </w:r>
      <w:r w:rsidR="00BE7466">
        <w:rPr>
          <w:rFonts w:asciiTheme="minorHAnsi" w:hAnsiTheme="minorHAnsi"/>
          <w:sz w:val="24"/>
          <w:szCs w:val="24"/>
        </w:rPr>
        <w:t xml:space="preserve"> z eko</w:t>
      </w:r>
      <w:r>
        <w:rPr>
          <w:rFonts w:asciiTheme="minorHAnsi" w:hAnsiTheme="minorHAnsi"/>
          <w:sz w:val="24"/>
          <w:szCs w:val="24"/>
        </w:rPr>
        <w:t>systemu jednolitego rynku UE nie będą już miały zastosowania do Zjednoczonego Królestwa. Decyzje</w:t>
      </w:r>
      <w:r w:rsidR="00BE7466">
        <w:rPr>
          <w:rFonts w:asciiTheme="minorHAnsi" w:hAnsiTheme="minorHAnsi"/>
          <w:sz w:val="24"/>
          <w:szCs w:val="24"/>
        </w:rPr>
        <w:t xml:space="preserve"> o rów</w:t>
      </w:r>
      <w:r>
        <w:rPr>
          <w:rFonts w:asciiTheme="minorHAnsi" w:hAnsiTheme="minorHAnsi"/>
          <w:sz w:val="24"/>
          <w:szCs w:val="24"/>
        </w:rPr>
        <w:t>noważności można</w:t>
      </w:r>
      <w:r w:rsidR="00BE7466">
        <w:rPr>
          <w:rFonts w:asciiTheme="minorHAnsi" w:hAnsiTheme="minorHAnsi"/>
          <w:sz w:val="24"/>
          <w:szCs w:val="24"/>
        </w:rPr>
        <w:t xml:space="preserve"> w każ</w:t>
      </w:r>
      <w:r>
        <w:rPr>
          <w:rFonts w:asciiTheme="minorHAnsi" w:hAnsiTheme="minorHAnsi"/>
          <w:sz w:val="24"/>
          <w:szCs w:val="24"/>
        </w:rPr>
        <w:t>dym momencie jednostronnie wycofać,</w:t>
      </w:r>
      <w:r w:rsidR="00BE7466">
        <w:rPr>
          <w:rFonts w:asciiTheme="minorHAnsi" w:hAnsiTheme="minorHAnsi"/>
          <w:sz w:val="24"/>
          <w:szCs w:val="24"/>
        </w:rPr>
        <w:t xml:space="preserve"> w szc</w:t>
      </w:r>
      <w:r>
        <w:rPr>
          <w:rFonts w:asciiTheme="minorHAnsi" w:hAnsiTheme="minorHAnsi"/>
          <w:sz w:val="24"/>
          <w:szCs w:val="24"/>
        </w:rPr>
        <w:t>zególności jeżeli ramy równoważności państwa trzeciego odbiegają od ram równoważności UE</w:t>
      </w:r>
      <w:r w:rsidR="00BE7466">
        <w:rPr>
          <w:rFonts w:asciiTheme="minorHAnsi" w:hAnsiTheme="minorHAnsi"/>
          <w:sz w:val="24"/>
          <w:szCs w:val="24"/>
        </w:rPr>
        <w:t xml:space="preserve"> i nie</w:t>
      </w:r>
      <w:r>
        <w:rPr>
          <w:rFonts w:asciiTheme="minorHAnsi" w:hAnsiTheme="minorHAnsi"/>
          <w:sz w:val="24"/>
          <w:szCs w:val="24"/>
        </w:rPr>
        <w:t xml:space="preserve"> są już spełniane warunki równoważności.</w:t>
      </w:r>
    </w:p>
    <w:p w:rsidR="005B5E63" w:rsidRDefault="00B858F1">
      <w:pPr>
        <w:jc w:val="both"/>
        <w:rPr>
          <w:rFonts w:asciiTheme="minorHAnsi" w:hAnsiTheme="minorHAnsi" w:cstheme="minorHAnsi"/>
          <w:sz w:val="24"/>
          <w:szCs w:val="24"/>
        </w:rPr>
      </w:pPr>
      <w:r>
        <w:rPr>
          <w:rFonts w:asciiTheme="minorHAnsi" w:hAnsiTheme="minorHAnsi"/>
          <w:sz w:val="24"/>
          <w:szCs w:val="24"/>
        </w:rPr>
        <w:t>Ponieważ unijne ramy równoważności są jednostronne, negocjacje ze Zjednoczonym Królestwem nie dotyczą ani oceny równoważności, ani ewentualnych decyzji</w:t>
      </w:r>
      <w:r w:rsidR="00BE7466">
        <w:rPr>
          <w:rFonts w:asciiTheme="minorHAnsi" w:hAnsiTheme="minorHAnsi"/>
          <w:sz w:val="24"/>
          <w:szCs w:val="24"/>
        </w:rPr>
        <w:t xml:space="preserve"> o stw</w:t>
      </w:r>
      <w:r>
        <w:rPr>
          <w:rFonts w:asciiTheme="minorHAnsi" w:hAnsiTheme="minorHAnsi"/>
          <w:sz w:val="24"/>
          <w:szCs w:val="24"/>
        </w:rPr>
        <w:t>ierdzeniu równoważności. Ze względu na istniejące obecnie powiązania między rynkiem UE</w:t>
      </w:r>
      <w:r w:rsidR="00BE7466">
        <w:rPr>
          <w:rFonts w:asciiTheme="minorHAnsi" w:hAnsiTheme="minorHAnsi"/>
          <w:sz w:val="24"/>
          <w:szCs w:val="24"/>
        </w:rPr>
        <w:t xml:space="preserve"> a ryn</w:t>
      </w:r>
      <w:r>
        <w:rPr>
          <w:rFonts w:asciiTheme="minorHAnsi" w:hAnsiTheme="minorHAnsi"/>
          <w:sz w:val="24"/>
          <w:szCs w:val="24"/>
        </w:rPr>
        <w:t>kiem Zjednoczonego Królestwa Komisja, oceniając równoważność, musi zwracać szczególną uwagę na zagrożenia dla UE pod kątem stabilności finansowej, przejrzystości rynku, integralności rynku, ochrony inwestorów</w:t>
      </w:r>
      <w:r w:rsidR="00BE7466">
        <w:rPr>
          <w:rFonts w:asciiTheme="minorHAnsi" w:hAnsiTheme="minorHAnsi"/>
          <w:sz w:val="24"/>
          <w:szCs w:val="24"/>
        </w:rPr>
        <w:t xml:space="preserve"> i rów</w:t>
      </w:r>
      <w:r>
        <w:rPr>
          <w:rFonts w:asciiTheme="minorHAnsi" w:hAnsiTheme="minorHAnsi"/>
          <w:sz w:val="24"/>
          <w:szCs w:val="24"/>
        </w:rPr>
        <w:t>nych warunków działania. Ponadto ze względu na deklarowany przez rząd Zjednoczonego Królestwa zamiar odejścia od unijnych ram regulacyjnych</w:t>
      </w:r>
      <w:r w:rsidR="00BE7466">
        <w:rPr>
          <w:rFonts w:asciiTheme="minorHAnsi" w:hAnsiTheme="minorHAnsi"/>
          <w:sz w:val="24"/>
          <w:szCs w:val="24"/>
        </w:rPr>
        <w:t xml:space="preserve"> i nad</w:t>
      </w:r>
      <w:r>
        <w:rPr>
          <w:rFonts w:asciiTheme="minorHAnsi" w:hAnsiTheme="minorHAnsi"/>
          <w:sz w:val="24"/>
          <w:szCs w:val="24"/>
        </w:rPr>
        <w:t>zorczych</w:t>
      </w:r>
      <w:r w:rsidR="00BE7466">
        <w:rPr>
          <w:rFonts w:asciiTheme="minorHAnsi" w:hAnsiTheme="minorHAnsi"/>
          <w:sz w:val="24"/>
          <w:szCs w:val="24"/>
        </w:rPr>
        <w:t xml:space="preserve"> w dzi</w:t>
      </w:r>
      <w:r>
        <w:rPr>
          <w:rFonts w:asciiTheme="minorHAnsi" w:hAnsiTheme="minorHAnsi"/>
          <w:sz w:val="24"/>
          <w:szCs w:val="24"/>
        </w:rPr>
        <w:t>edzinie usług finansowych po upływie okresu przejściowego Komisja musi ocenić równoważność Zjednoczonego Królestwa</w:t>
      </w:r>
      <w:r w:rsidR="00BE7466">
        <w:rPr>
          <w:rFonts w:asciiTheme="minorHAnsi" w:hAnsiTheme="minorHAnsi"/>
          <w:sz w:val="24"/>
          <w:szCs w:val="24"/>
        </w:rPr>
        <w:t xml:space="preserve"> w każ</w:t>
      </w:r>
      <w:r>
        <w:rPr>
          <w:rFonts w:asciiTheme="minorHAnsi" w:hAnsiTheme="minorHAnsi"/>
          <w:sz w:val="24"/>
          <w:szCs w:val="24"/>
        </w:rPr>
        <w:t>dym</w:t>
      </w:r>
      <w:r w:rsidR="00BE7466">
        <w:rPr>
          <w:rFonts w:asciiTheme="minorHAnsi" w:hAnsiTheme="minorHAnsi"/>
          <w:sz w:val="24"/>
          <w:szCs w:val="24"/>
        </w:rPr>
        <w:t xml:space="preserve"> z tyc</w:t>
      </w:r>
      <w:r>
        <w:rPr>
          <w:rFonts w:asciiTheme="minorHAnsi" w:hAnsiTheme="minorHAnsi"/>
          <w:sz w:val="24"/>
          <w:szCs w:val="24"/>
        </w:rPr>
        <w:t>h obszarów</w:t>
      </w:r>
      <w:r w:rsidR="00BE7466">
        <w:rPr>
          <w:rFonts w:asciiTheme="minorHAnsi" w:hAnsiTheme="minorHAnsi"/>
          <w:sz w:val="24"/>
          <w:szCs w:val="24"/>
        </w:rPr>
        <w:t xml:space="preserve"> w opa</w:t>
      </w:r>
      <w:r>
        <w:rPr>
          <w:rFonts w:asciiTheme="minorHAnsi" w:hAnsiTheme="minorHAnsi"/>
          <w:sz w:val="24"/>
          <w:szCs w:val="24"/>
        </w:rPr>
        <w:t>rciu</w:t>
      </w:r>
      <w:r w:rsidR="00BE7466">
        <w:rPr>
          <w:rFonts w:asciiTheme="minorHAnsi" w:hAnsiTheme="minorHAnsi"/>
          <w:sz w:val="24"/>
          <w:szCs w:val="24"/>
        </w:rPr>
        <w:t xml:space="preserve"> o per</w:t>
      </w:r>
      <w:r>
        <w:rPr>
          <w:rFonts w:asciiTheme="minorHAnsi" w:hAnsiTheme="minorHAnsi"/>
          <w:sz w:val="24"/>
          <w:szCs w:val="24"/>
        </w:rPr>
        <w:t xml:space="preserve">spektywę przyszłościową. </w:t>
      </w:r>
    </w:p>
    <w:p w:rsidR="005B5E63" w:rsidRDefault="00B858F1">
      <w:pPr>
        <w:jc w:val="both"/>
        <w:rPr>
          <w:rFonts w:asciiTheme="minorHAnsi" w:hAnsiTheme="minorHAnsi" w:cstheme="minorHAnsi"/>
          <w:sz w:val="24"/>
          <w:szCs w:val="24"/>
        </w:rPr>
      </w:pPr>
      <w:r>
        <w:rPr>
          <w:rFonts w:asciiTheme="minorHAnsi" w:hAnsiTheme="minorHAnsi"/>
          <w:sz w:val="24"/>
          <w:szCs w:val="24"/>
        </w:rPr>
        <w:t>W deklaracji politycznej określającej ramy przyszłych stosunków</w:t>
      </w:r>
      <w:r>
        <w:rPr>
          <w:rStyle w:val="Odwoanieprzypisudolnego"/>
          <w:rFonts w:asciiTheme="minorHAnsi" w:hAnsiTheme="minorHAnsi" w:cstheme="minorHAnsi"/>
          <w:sz w:val="24"/>
          <w:szCs w:val="24"/>
        </w:rPr>
        <w:footnoteReference w:id="18"/>
      </w:r>
      <w:r>
        <w:rPr>
          <w:rFonts w:asciiTheme="minorHAnsi" w:hAnsiTheme="minorHAnsi"/>
          <w:sz w:val="24"/>
          <w:szCs w:val="24"/>
        </w:rPr>
        <w:t xml:space="preserve"> stwierdzono, że zarówno Unia Europejska, jak</w:t>
      </w:r>
      <w:r w:rsidR="00BE7466">
        <w:rPr>
          <w:rFonts w:asciiTheme="minorHAnsi" w:hAnsiTheme="minorHAnsi"/>
          <w:sz w:val="24"/>
          <w:szCs w:val="24"/>
        </w:rPr>
        <w:t xml:space="preserve"> i Zje</w:t>
      </w:r>
      <w:r>
        <w:rPr>
          <w:rFonts w:asciiTheme="minorHAnsi" w:hAnsiTheme="minorHAnsi"/>
          <w:sz w:val="24"/>
          <w:szCs w:val="24"/>
        </w:rPr>
        <w:t xml:space="preserve">dnoczone Królestwo będą dążyły do zakończenia swoich </w:t>
      </w:r>
      <w:r>
        <w:rPr>
          <w:rFonts w:asciiTheme="minorHAnsi" w:hAnsiTheme="minorHAnsi"/>
          <w:sz w:val="24"/>
          <w:szCs w:val="24"/>
        </w:rPr>
        <w:lastRenderedPageBreak/>
        <w:t>odpowiednich ocen równoważności do końca czerwca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Style w:val="Odwoanieprzypisudolnego"/>
          <w:rFonts w:asciiTheme="minorHAnsi" w:hAnsiTheme="minorHAnsi" w:cstheme="minorHAnsi"/>
          <w:sz w:val="24"/>
          <w:szCs w:val="24"/>
        </w:rPr>
        <w:footnoteReference w:id="19"/>
      </w:r>
      <w:r>
        <w:rPr>
          <w:rFonts w:asciiTheme="minorHAnsi" w:hAnsiTheme="minorHAnsi"/>
          <w:sz w:val="24"/>
          <w:szCs w:val="24"/>
        </w:rPr>
        <w:t xml:space="preserve"> Komisja udostępniła Zjednoczonemu Królestwu kwestionariusze obejmujące 28 dziedzin równoważności. Do końca czerwca zwrócono tylko 4 wypełnione kwestionariusze</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Komisja nie była</w:t>
      </w:r>
      <w:r w:rsidR="00BE7466">
        <w:rPr>
          <w:rFonts w:asciiTheme="minorHAnsi" w:hAnsiTheme="minorHAnsi"/>
          <w:sz w:val="24"/>
          <w:szCs w:val="24"/>
        </w:rPr>
        <w:t xml:space="preserve"> w sta</w:t>
      </w:r>
      <w:r>
        <w:rPr>
          <w:rFonts w:asciiTheme="minorHAnsi" w:hAnsiTheme="minorHAnsi"/>
          <w:sz w:val="24"/>
          <w:szCs w:val="24"/>
        </w:rPr>
        <w:t>nie zakończyć swoich ocen równoważności do końca czerwca</w:t>
      </w:r>
      <w:r w:rsidRPr="00C43387">
        <w:rPr>
          <w:rFonts w:asciiTheme="minorHAnsi" w:hAnsiTheme="minorHAnsi"/>
          <w:sz w:val="24"/>
          <w:szCs w:val="24"/>
        </w:rPr>
        <w:t>.</w:t>
      </w:r>
      <w:r w:rsidR="00C43387" w:rsidRPr="00C43387">
        <w:rPr>
          <w:rFonts w:asciiTheme="minorHAnsi" w:hAnsiTheme="minorHAnsi"/>
          <w:sz w:val="24"/>
          <w:szCs w:val="24"/>
        </w:rPr>
        <w:t xml:space="preserve"> </w:t>
      </w:r>
      <w:r w:rsidRPr="00C43387">
        <w:rPr>
          <w:rFonts w:asciiTheme="minorHAnsi" w:hAnsiTheme="minorHAnsi"/>
          <w:sz w:val="24"/>
          <w:szCs w:val="24"/>
        </w:rPr>
        <w:t>K</w:t>
      </w:r>
      <w:r>
        <w:rPr>
          <w:rFonts w:asciiTheme="minorHAnsi" w:hAnsiTheme="minorHAnsi"/>
          <w:sz w:val="24"/>
          <w:szCs w:val="24"/>
        </w:rPr>
        <w:t>omisja będzie dalej przeprowadzać oceny na podstawie kolejnych odpowiedzi, które obecnie otrzymuje</w:t>
      </w:r>
      <w:r w:rsidR="00BE7466">
        <w:rPr>
          <w:rFonts w:asciiTheme="minorHAnsi" w:hAnsiTheme="minorHAnsi"/>
          <w:sz w:val="24"/>
          <w:szCs w:val="24"/>
        </w:rPr>
        <w:t>. W prz</w:t>
      </w:r>
      <w:r>
        <w:rPr>
          <w:rFonts w:asciiTheme="minorHAnsi" w:hAnsiTheme="minorHAnsi"/>
          <w:sz w:val="24"/>
          <w:szCs w:val="24"/>
        </w:rPr>
        <w:t>ypadku każdej</w:t>
      </w:r>
      <w:r w:rsidR="00BE7466">
        <w:rPr>
          <w:rFonts w:asciiTheme="minorHAnsi" w:hAnsiTheme="minorHAnsi"/>
          <w:sz w:val="24"/>
          <w:szCs w:val="24"/>
        </w:rPr>
        <w:t xml:space="preserve"> z dzi</w:t>
      </w:r>
      <w:r>
        <w:rPr>
          <w:rFonts w:asciiTheme="minorHAnsi" w:hAnsiTheme="minorHAnsi"/>
          <w:sz w:val="24"/>
          <w:szCs w:val="24"/>
        </w:rPr>
        <w:t>edzin oceny mogą prowadzić do podjęcia decyzji</w:t>
      </w:r>
      <w:r w:rsidR="00BE7466">
        <w:rPr>
          <w:rFonts w:asciiTheme="minorHAnsi" w:hAnsiTheme="minorHAnsi"/>
          <w:sz w:val="24"/>
          <w:szCs w:val="24"/>
        </w:rPr>
        <w:t xml:space="preserve"> w spr</w:t>
      </w:r>
      <w:r>
        <w:rPr>
          <w:rFonts w:asciiTheme="minorHAnsi" w:hAnsiTheme="minorHAnsi"/>
          <w:sz w:val="24"/>
          <w:szCs w:val="24"/>
        </w:rPr>
        <w:t>awie istnienia równoważności lub jej braku. Komisja będzie podejmować decyzje na podstawie wszechstronnej oceny,</w:t>
      </w:r>
      <w:r w:rsidR="00BE7466">
        <w:rPr>
          <w:rFonts w:asciiTheme="minorHAnsi" w:hAnsiTheme="minorHAnsi"/>
          <w:sz w:val="24"/>
          <w:szCs w:val="24"/>
        </w:rPr>
        <w:t xml:space="preserve"> w tym</w:t>
      </w:r>
      <w:r>
        <w:rPr>
          <w:rFonts w:asciiTheme="minorHAnsi" w:hAnsiTheme="minorHAnsi"/>
          <w:sz w:val="24"/>
          <w:szCs w:val="24"/>
        </w:rPr>
        <w:t xml:space="preserve"> oceny interesu UE. </w:t>
      </w:r>
    </w:p>
    <w:p w:rsidR="005B5E63" w:rsidRDefault="00B858F1">
      <w:pPr>
        <w:jc w:val="both"/>
        <w:rPr>
          <w:rFonts w:asciiTheme="minorHAnsi" w:hAnsiTheme="minorHAnsi" w:cstheme="minorHAnsi"/>
          <w:sz w:val="24"/>
          <w:szCs w:val="24"/>
        </w:rPr>
      </w:pPr>
      <w:r>
        <w:rPr>
          <w:rFonts w:asciiTheme="minorHAnsi" w:hAnsiTheme="minorHAnsi"/>
          <w:sz w:val="24"/>
          <w:szCs w:val="24"/>
        </w:rPr>
        <w:t>W przypadku wielu dziedzin Komisja nie wszczęła procedury oceny, ponieważ decyzje</w:t>
      </w:r>
      <w:r w:rsidR="00BE7466">
        <w:rPr>
          <w:rFonts w:asciiTheme="minorHAnsi" w:hAnsiTheme="minorHAnsi"/>
          <w:sz w:val="24"/>
          <w:szCs w:val="24"/>
        </w:rPr>
        <w:t xml:space="preserve"> w spr</w:t>
      </w:r>
      <w:r>
        <w:rPr>
          <w:rFonts w:asciiTheme="minorHAnsi" w:hAnsiTheme="minorHAnsi"/>
          <w:sz w:val="24"/>
          <w:szCs w:val="24"/>
        </w:rPr>
        <w:t>awie równoważności zostały już podjęte</w:t>
      </w:r>
      <w:r>
        <w:rPr>
          <w:rStyle w:val="Odwoanieprzypisudolnego"/>
          <w:rFonts w:asciiTheme="minorHAnsi" w:hAnsiTheme="minorHAnsi" w:cstheme="minorHAnsi"/>
          <w:sz w:val="24"/>
          <w:szCs w:val="24"/>
        </w:rPr>
        <w:footnoteReference w:id="20"/>
      </w:r>
      <w:r>
        <w:rPr>
          <w:rFonts w:asciiTheme="minorHAnsi" w:hAnsiTheme="minorHAnsi"/>
          <w:sz w:val="24"/>
          <w:szCs w:val="24"/>
        </w:rPr>
        <w:t xml:space="preserve"> lub na przykład dlatego, że ramy prawne UE nie zostały jeszcze</w:t>
      </w:r>
      <w:r w:rsidR="00BE7466">
        <w:rPr>
          <w:rFonts w:asciiTheme="minorHAnsi" w:hAnsiTheme="minorHAnsi"/>
          <w:sz w:val="24"/>
          <w:szCs w:val="24"/>
        </w:rPr>
        <w:t xml:space="preserve"> w peł</w:t>
      </w:r>
      <w:r>
        <w:rPr>
          <w:rFonts w:asciiTheme="minorHAnsi" w:hAnsiTheme="minorHAnsi"/>
          <w:sz w:val="24"/>
          <w:szCs w:val="24"/>
        </w:rPr>
        <w:t>ni wdrożone</w:t>
      </w:r>
      <w:r w:rsidR="00BE7466">
        <w:rPr>
          <w:rFonts w:asciiTheme="minorHAnsi" w:hAnsiTheme="minorHAnsi"/>
          <w:sz w:val="24"/>
          <w:szCs w:val="24"/>
        </w:rPr>
        <w:t>. W odn</w:t>
      </w:r>
      <w:r>
        <w:rPr>
          <w:rFonts w:asciiTheme="minorHAnsi" w:hAnsiTheme="minorHAnsi"/>
          <w:sz w:val="24"/>
          <w:szCs w:val="24"/>
        </w:rPr>
        <w:t>iesieniu do ostatniej grupy dziedzin</w:t>
      </w:r>
      <w:r>
        <w:rPr>
          <w:rStyle w:val="Odwoanieprzypisudolnego"/>
          <w:rFonts w:asciiTheme="minorHAnsi" w:hAnsiTheme="minorHAnsi" w:cstheme="minorHAnsi"/>
          <w:sz w:val="24"/>
          <w:szCs w:val="24"/>
        </w:rPr>
        <w:footnoteReference w:id="21"/>
      </w:r>
      <w:r>
        <w:rPr>
          <w:rFonts w:asciiTheme="minorHAnsi" w:hAnsiTheme="minorHAnsi"/>
          <w:sz w:val="24"/>
          <w:szCs w:val="24"/>
        </w:rPr>
        <w:t xml:space="preserve"> Komisja nie przyjmie decyzji</w:t>
      </w:r>
      <w:r w:rsidR="00BE7466">
        <w:rPr>
          <w:rFonts w:asciiTheme="minorHAnsi" w:hAnsiTheme="minorHAnsi"/>
          <w:sz w:val="24"/>
          <w:szCs w:val="24"/>
        </w:rPr>
        <w:t xml:space="preserve"> o rów</w:t>
      </w:r>
      <w:r>
        <w:rPr>
          <w:rFonts w:asciiTheme="minorHAnsi" w:hAnsiTheme="minorHAnsi"/>
          <w:sz w:val="24"/>
          <w:szCs w:val="24"/>
        </w:rPr>
        <w:t>noważności</w:t>
      </w:r>
      <w:r w:rsidR="00BE7466">
        <w:rPr>
          <w:rFonts w:asciiTheme="minorHAnsi" w:hAnsiTheme="minorHAnsi"/>
          <w:sz w:val="24"/>
          <w:szCs w:val="24"/>
        </w:rPr>
        <w:t xml:space="preserve"> w kró</w:t>
      </w:r>
      <w:r>
        <w:rPr>
          <w:rFonts w:asciiTheme="minorHAnsi" w:hAnsiTheme="minorHAnsi"/>
          <w:sz w:val="24"/>
          <w:szCs w:val="24"/>
        </w:rPr>
        <w:t>tkim ani średnim terminie.</w:t>
      </w:r>
    </w:p>
    <w:p w:rsidR="005B5E63" w:rsidRDefault="00B858F1">
      <w:pPr>
        <w:jc w:val="both"/>
        <w:rPr>
          <w:rFonts w:asciiTheme="minorHAnsi" w:hAnsiTheme="minorHAnsi" w:cstheme="minorHAnsi"/>
          <w:sz w:val="24"/>
          <w:szCs w:val="24"/>
        </w:rPr>
      </w:pPr>
      <w:r>
        <w:rPr>
          <w:rFonts w:asciiTheme="minorHAnsi" w:hAnsiTheme="minorHAnsi"/>
          <w:sz w:val="24"/>
          <w:szCs w:val="24"/>
        </w:rPr>
        <w:t>Na podstawie analizy przeprowadzonej wraz</w:t>
      </w:r>
      <w:r w:rsidR="00BE7466">
        <w:rPr>
          <w:rFonts w:asciiTheme="minorHAnsi" w:hAnsiTheme="minorHAnsi"/>
          <w:sz w:val="24"/>
          <w:szCs w:val="24"/>
        </w:rPr>
        <w:t xml:space="preserve"> z Eur</w:t>
      </w:r>
      <w:r>
        <w:rPr>
          <w:rFonts w:asciiTheme="minorHAnsi" w:hAnsiTheme="minorHAnsi"/>
          <w:sz w:val="24"/>
          <w:szCs w:val="24"/>
        </w:rPr>
        <w:t>opejskim Bankiem Centralnym, Jednolitą Radą ds. Restrukturyzacji</w:t>
      </w:r>
      <w:r w:rsidR="00BE7466">
        <w:rPr>
          <w:rFonts w:asciiTheme="minorHAnsi" w:hAnsiTheme="minorHAnsi"/>
          <w:sz w:val="24"/>
          <w:szCs w:val="24"/>
        </w:rPr>
        <w:t xml:space="preserve"> i Upo</w:t>
      </w:r>
      <w:r>
        <w:rPr>
          <w:rFonts w:asciiTheme="minorHAnsi" w:hAnsiTheme="minorHAnsi"/>
          <w:sz w:val="24"/>
          <w:szCs w:val="24"/>
        </w:rPr>
        <w:t>rządkowanej Likwidacji</w:t>
      </w:r>
      <w:r w:rsidR="00BE7466">
        <w:rPr>
          <w:rFonts w:asciiTheme="minorHAnsi" w:hAnsiTheme="minorHAnsi"/>
          <w:sz w:val="24"/>
          <w:szCs w:val="24"/>
        </w:rPr>
        <w:t xml:space="preserve"> i eur</w:t>
      </w:r>
      <w:r>
        <w:rPr>
          <w:rFonts w:asciiTheme="minorHAnsi" w:hAnsiTheme="minorHAnsi"/>
          <w:sz w:val="24"/>
          <w:szCs w:val="24"/>
        </w:rPr>
        <w:t>opejskimi organami nadzoru,</w:t>
      </w:r>
      <w:r w:rsidR="00BE7466">
        <w:rPr>
          <w:rFonts w:asciiTheme="minorHAnsi" w:hAnsiTheme="minorHAnsi"/>
          <w:sz w:val="24"/>
          <w:szCs w:val="24"/>
        </w:rPr>
        <w:t xml:space="preserve"> a tak</w:t>
      </w:r>
      <w:r>
        <w:rPr>
          <w:rFonts w:asciiTheme="minorHAnsi" w:hAnsiTheme="minorHAnsi"/>
          <w:sz w:val="24"/>
          <w:szCs w:val="24"/>
        </w:rPr>
        <w:t>że</w:t>
      </w:r>
      <w:r w:rsidR="00BE7466">
        <w:rPr>
          <w:rFonts w:asciiTheme="minorHAnsi" w:hAnsiTheme="minorHAnsi"/>
          <w:sz w:val="24"/>
          <w:szCs w:val="24"/>
        </w:rPr>
        <w:t xml:space="preserve"> w opa</w:t>
      </w:r>
      <w:r>
        <w:rPr>
          <w:rFonts w:asciiTheme="minorHAnsi" w:hAnsiTheme="minorHAnsi"/>
          <w:sz w:val="24"/>
          <w:szCs w:val="24"/>
        </w:rPr>
        <w:t>rciu</w:t>
      </w:r>
      <w:r w:rsidR="00BE7466">
        <w:rPr>
          <w:rFonts w:asciiTheme="minorHAnsi" w:hAnsiTheme="minorHAnsi"/>
          <w:sz w:val="24"/>
          <w:szCs w:val="24"/>
        </w:rPr>
        <w:t xml:space="preserve"> o prz</w:t>
      </w:r>
      <w:r>
        <w:rPr>
          <w:rFonts w:asciiTheme="minorHAnsi" w:hAnsiTheme="minorHAnsi"/>
          <w:sz w:val="24"/>
          <w:szCs w:val="24"/>
        </w:rPr>
        <w:t xml:space="preserve">ygotowania podjęte przez firmy świadczące usługi finansowe, Komisja </w:t>
      </w:r>
      <w:r>
        <w:rPr>
          <w:rFonts w:asciiTheme="minorHAnsi" w:hAnsiTheme="minorHAnsi"/>
          <w:sz w:val="24"/>
          <w:szCs w:val="24"/>
        </w:rPr>
        <w:lastRenderedPageBreak/>
        <w:t>zidentyfikowała tylko jedną dziedzinę, która może stwarzać ryzyko dla stabilności finansowej,</w:t>
      </w:r>
      <w:r w:rsidR="00BE7466">
        <w:rPr>
          <w:rFonts w:asciiTheme="minorHAnsi" w:hAnsiTheme="minorHAnsi"/>
          <w:sz w:val="24"/>
          <w:szCs w:val="24"/>
        </w:rPr>
        <w:t xml:space="preserve"> a mia</w:t>
      </w:r>
      <w:r>
        <w:rPr>
          <w:rFonts w:asciiTheme="minorHAnsi" w:hAnsiTheme="minorHAnsi"/>
          <w:sz w:val="24"/>
          <w:szCs w:val="24"/>
        </w:rPr>
        <w:t>nowicie kontrahentów centralnych (CCP) instrumentów pochodnych</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w:t>
      </w:r>
      <w:r w:rsidR="00BE7466">
        <w:rPr>
          <w:rFonts w:asciiTheme="minorHAnsi" w:hAnsiTheme="minorHAnsi"/>
          <w:sz w:val="24"/>
          <w:szCs w:val="24"/>
        </w:rPr>
        <w:t xml:space="preserve"> w per</w:t>
      </w:r>
      <w:r>
        <w:rPr>
          <w:rFonts w:asciiTheme="minorHAnsi" w:hAnsiTheme="minorHAnsi"/>
          <w:sz w:val="24"/>
          <w:szCs w:val="24"/>
        </w:rPr>
        <w:t>spektywie krótkoterminowej</w:t>
      </w:r>
      <w:r w:rsidR="00BE7466">
        <w:rPr>
          <w:rFonts w:asciiTheme="minorHAnsi" w:hAnsiTheme="minorHAnsi"/>
          <w:sz w:val="24"/>
          <w:szCs w:val="24"/>
        </w:rPr>
        <w:t xml:space="preserve"> i w cel</w:t>
      </w:r>
      <w:r>
        <w:rPr>
          <w:rFonts w:asciiTheme="minorHAnsi" w:hAnsiTheme="minorHAnsi"/>
          <w:sz w:val="24"/>
          <w:szCs w:val="24"/>
        </w:rPr>
        <w:t>u przeciwdziałania ewentualnym zagrożeniom dla stabilności finansowej, Komisja rozważa przyjęcie ograniczonej</w:t>
      </w:r>
      <w:r w:rsidR="00BE7466">
        <w:rPr>
          <w:rFonts w:asciiTheme="minorHAnsi" w:hAnsiTheme="minorHAnsi"/>
          <w:sz w:val="24"/>
          <w:szCs w:val="24"/>
        </w:rPr>
        <w:t xml:space="preserve"> w cza</w:t>
      </w:r>
      <w:r>
        <w:rPr>
          <w:rFonts w:asciiTheme="minorHAnsi" w:hAnsiTheme="minorHAnsi"/>
          <w:sz w:val="24"/>
          <w:szCs w:val="24"/>
        </w:rPr>
        <w:t>sie decyzji</w:t>
      </w:r>
      <w:r w:rsidR="00BE7466">
        <w:rPr>
          <w:rFonts w:asciiTheme="minorHAnsi" w:hAnsiTheme="minorHAnsi"/>
          <w:sz w:val="24"/>
          <w:szCs w:val="24"/>
        </w:rPr>
        <w:t xml:space="preserve"> o rów</w:t>
      </w:r>
      <w:r>
        <w:rPr>
          <w:rFonts w:asciiTheme="minorHAnsi" w:hAnsiTheme="minorHAnsi"/>
          <w:sz w:val="24"/>
          <w:szCs w:val="24"/>
        </w:rPr>
        <w:t>noważności</w:t>
      </w:r>
      <w:r w:rsidR="00BE7466">
        <w:rPr>
          <w:rFonts w:asciiTheme="minorHAnsi" w:hAnsiTheme="minorHAnsi"/>
          <w:sz w:val="24"/>
          <w:szCs w:val="24"/>
        </w:rPr>
        <w:t xml:space="preserve"> w odn</w:t>
      </w:r>
      <w:r>
        <w:rPr>
          <w:rFonts w:asciiTheme="minorHAnsi" w:hAnsiTheme="minorHAnsi"/>
          <w:sz w:val="24"/>
          <w:szCs w:val="24"/>
        </w:rPr>
        <w:t>iesieniu do Zjednoczonego Królestwa</w:t>
      </w:r>
      <w:r w:rsidR="00BE7466">
        <w:rPr>
          <w:rFonts w:asciiTheme="minorHAnsi" w:hAnsiTheme="minorHAnsi"/>
          <w:sz w:val="24"/>
          <w:szCs w:val="24"/>
        </w:rPr>
        <w:t xml:space="preserve"> w tej</w:t>
      </w:r>
      <w:r>
        <w:rPr>
          <w:rFonts w:asciiTheme="minorHAnsi" w:hAnsiTheme="minorHAnsi"/>
          <w:sz w:val="24"/>
          <w:szCs w:val="24"/>
        </w:rPr>
        <w:t xml:space="preserve"> dziedzinie.</w:t>
      </w:r>
    </w:p>
    <w:p w:rsidR="005B5E63" w:rsidRDefault="00B858F1">
      <w:pPr>
        <w:jc w:val="both"/>
        <w:rPr>
          <w:rFonts w:asciiTheme="minorHAnsi" w:hAnsiTheme="minorHAnsi" w:cstheme="minorHAnsi"/>
          <w:sz w:val="24"/>
          <w:szCs w:val="24"/>
        </w:rPr>
      </w:pPr>
      <w:r>
        <w:rPr>
          <w:rFonts w:asciiTheme="minorHAnsi" w:hAnsiTheme="minorHAnsi"/>
          <w:sz w:val="24"/>
          <w:szCs w:val="24"/>
        </w:rPr>
        <w:t>Taka ograniczona</w:t>
      </w:r>
      <w:r w:rsidR="00BE7466">
        <w:rPr>
          <w:rFonts w:asciiTheme="minorHAnsi" w:hAnsiTheme="minorHAnsi"/>
          <w:sz w:val="24"/>
          <w:szCs w:val="24"/>
        </w:rPr>
        <w:t xml:space="preserve"> w cza</w:t>
      </w:r>
      <w:r>
        <w:rPr>
          <w:rFonts w:asciiTheme="minorHAnsi" w:hAnsiTheme="minorHAnsi"/>
          <w:sz w:val="24"/>
          <w:szCs w:val="24"/>
        </w:rPr>
        <w:t>sie decyzja umożliwiłaby CCP mającym siedzibę w UE dalszy rozwój zdolności do rozliczania odpowiednich transakcji</w:t>
      </w:r>
      <w:r w:rsidR="00BE7466">
        <w:rPr>
          <w:rFonts w:asciiTheme="minorHAnsi" w:hAnsiTheme="minorHAnsi"/>
          <w:sz w:val="24"/>
          <w:szCs w:val="24"/>
        </w:rPr>
        <w:t xml:space="preserve"> w per</w:t>
      </w:r>
      <w:r>
        <w:rPr>
          <w:rFonts w:asciiTheme="minorHAnsi" w:hAnsiTheme="minorHAnsi"/>
          <w:sz w:val="24"/>
          <w:szCs w:val="24"/>
        </w:rPr>
        <w:t>spektywie krótko-</w:t>
      </w:r>
      <w:r w:rsidR="00BE7466">
        <w:rPr>
          <w:rFonts w:asciiTheme="minorHAnsi" w:hAnsiTheme="minorHAnsi"/>
          <w:sz w:val="24"/>
          <w:szCs w:val="24"/>
        </w:rPr>
        <w:t xml:space="preserve"> i śre</w:t>
      </w:r>
      <w:r>
        <w:rPr>
          <w:rFonts w:asciiTheme="minorHAnsi" w:hAnsiTheme="minorHAnsi"/>
          <w:sz w:val="24"/>
          <w:szCs w:val="24"/>
        </w:rPr>
        <w:t>dnioterminowej,</w:t>
      </w:r>
      <w:r w:rsidR="00BE7466">
        <w:rPr>
          <w:rFonts w:asciiTheme="minorHAnsi" w:hAnsiTheme="minorHAnsi"/>
          <w:sz w:val="24"/>
          <w:szCs w:val="24"/>
        </w:rPr>
        <w:t xml:space="preserve"> a uni</w:t>
      </w:r>
      <w:r>
        <w:rPr>
          <w:rFonts w:asciiTheme="minorHAnsi" w:hAnsiTheme="minorHAnsi"/>
          <w:sz w:val="24"/>
          <w:szCs w:val="24"/>
        </w:rPr>
        <w:t>jnym uczestnikom rozliczającym – podjęcie</w:t>
      </w:r>
      <w:r w:rsidR="00BE7466">
        <w:rPr>
          <w:rFonts w:asciiTheme="minorHAnsi" w:hAnsiTheme="minorHAnsi"/>
          <w:sz w:val="24"/>
          <w:szCs w:val="24"/>
        </w:rPr>
        <w:t xml:space="preserve"> i wdr</w:t>
      </w:r>
      <w:r>
        <w:rPr>
          <w:rFonts w:asciiTheme="minorHAnsi" w:hAnsiTheme="minorHAnsi"/>
          <w:sz w:val="24"/>
          <w:szCs w:val="24"/>
        </w:rPr>
        <w:t>ożenie niezbędnych kroków, między innymi przez zmniejszenie własnej ekspozycji ogólnoustrojowej na infrastrukturę rynku Zjednoczonego Królestwa.</w:t>
      </w:r>
    </w:p>
    <w:p w:rsidR="005B5E63" w:rsidRDefault="00B858F1">
      <w:pPr>
        <w:jc w:val="both"/>
      </w:pPr>
      <w:r>
        <w:rPr>
          <w:rFonts w:asciiTheme="minorHAnsi" w:hAnsiTheme="minorHAnsi"/>
          <w:sz w:val="24"/>
          <w:szCs w:val="24"/>
        </w:rPr>
        <w:t>W celu wzmocnienia nadzoru</w:t>
      </w:r>
      <w:r w:rsidR="00BE7466">
        <w:rPr>
          <w:rFonts w:asciiTheme="minorHAnsi" w:hAnsiTheme="minorHAnsi"/>
          <w:sz w:val="24"/>
          <w:szCs w:val="24"/>
        </w:rPr>
        <w:t xml:space="preserve"> i reg</w:t>
      </w:r>
      <w:r>
        <w:rPr>
          <w:rFonts w:asciiTheme="minorHAnsi" w:hAnsiTheme="minorHAnsi"/>
          <w:sz w:val="24"/>
          <w:szCs w:val="24"/>
        </w:rPr>
        <w:t>ulacji działalności rozliczeniowej, która ma dla Unii znaczenie systemowe, UE wdraża obecnie rozporządzenie EMIR 2.2. Komisja przyjmuje środki wykonawcze,</w:t>
      </w:r>
      <w:r w:rsidR="00BE7466">
        <w:rPr>
          <w:rFonts w:asciiTheme="minorHAnsi" w:hAnsiTheme="minorHAnsi"/>
          <w:sz w:val="24"/>
          <w:szCs w:val="24"/>
        </w:rPr>
        <w:t xml:space="preserve"> w któ</w:t>
      </w:r>
      <w:r>
        <w:rPr>
          <w:rFonts w:asciiTheme="minorHAnsi" w:hAnsiTheme="minorHAnsi"/>
          <w:sz w:val="24"/>
          <w:szCs w:val="24"/>
        </w:rPr>
        <w:t>rych zostanie określony stopień ryzyka systemowego CCP</w:t>
      </w:r>
      <w:r w:rsidR="00BE7466">
        <w:rPr>
          <w:rFonts w:asciiTheme="minorHAnsi" w:hAnsiTheme="minorHAnsi"/>
          <w:sz w:val="24"/>
          <w:szCs w:val="24"/>
        </w:rPr>
        <w:t xml:space="preserve"> z pań</w:t>
      </w:r>
      <w:r>
        <w:rPr>
          <w:rFonts w:asciiTheme="minorHAnsi" w:hAnsiTheme="minorHAnsi"/>
          <w:sz w:val="24"/>
          <w:szCs w:val="24"/>
        </w:rPr>
        <w:t>stw trzecich oraz środki niezbędne do wzmocnienia nadzoru nad takimi CCP,</w:t>
      </w:r>
      <w:r w:rsidR="00BE7466">
        <w:rPr>
          <w:rFonts w:asciiTheme="minorHAnsi" w:hAnsiTheme="minorHAnsi"/>
          <w:sz w:val="24"/>
          <w:szCs w:val="24"/>
        </w:rPr>
        <w:t xml:space="preserve"> a tak</w:t>
      </w:r>
      <w:r>
        <w:rPr>
          <w:rFonts w:asciiTheme="minorHAnsi" w:hAnsiTheme="minorHAnsi"/>
          <w:sz w:val="24"/>
          <w:szCs w:val="24"/>
        </w:rPr>
        <w:t xml:space="preserve">że ewentualną potrzebę wprowadzenia dalszych środków służących ograniczeniu tego ryzyka.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Firmy ubezpieczeniowe, banki, firmy inwestycyjne, systemy obrotu</w:t>
      </w:r>
      <w:r w:rsidR="00BE7466">
        <w:rPr>
          <w:rFonts w:asciiTheme="minorHAnsi" w:hAnsiTheme="minorHAnsi"/>
          <w:sz w:val="24"/>
          <w:szCs w:val="24"/>
        </w:rPr>
        <w:t xml:space="preserve"> i inn</w:t>
      </w:r>
      <w:r>
        <w:rPr>
          <w:rFonts w:asciiTheme="minorHAnsi" w:hAnsiTheme="minorHAnsi"/>
          <w:sz w:val="24"/>
          <w:szCs w:val="24"/>
        </w:rPr>
        <w:t>i dostawcy usług finansowych powinni zakończyć opracowywanie swoich środków przygotowawczych</w:t>
      </w:r>
      <w:r w:rsidR="00BE7466">
        <w:rPr>
          <w:rFonts w:asciiTheme="minorHAnsi" w:hAnsiTheme="minorHAnsi"/>
          <w:sz w:val="24"/>
          <w:szCs w:val="24"/>
        </w:rPr>
        <w:t xml:space="preserve"> i wdr</w:t>
      </w:r>
      <w:r>
        <w:rPr>
          <w:rFonts w:asciiTheme="minorHAnsi" w:hAnsiTheme="minorHAnsi"/>
          <w:sz w:val="24"/>
          <w:szCs w:val="24"/>
        </w:rPr>
        <w:t>ożyć je najpóźniej do dnia 31 grudnia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aby przygotować się na zmiany, które nastąpią we wszystkich scenariuszach,</w:t>
      </w:r>
      <w:r w:rsidR="00BE7466">
        <w:rPr>
          <w:rFonts w:asciiTheme="minorHAnsi" w:hAnsiTheme="minorHAnsi"/>
          <w:sz w:val="24"/>
          <w:szCs w:val="24"/>
        </w:rPr>
        <w:t xml:space="preserve"> w tym w prz</w:t>
      </w:r>
      <w:r>
        <w:rPr>
          <w:rFonts w:asciiTheme="minorHAnsi" w:hAnsiTheme="minorHAnsi"/>
          <w:sz w:val="24"/>
          <w:szCs w:val="24"/>
        </w:rPr>
        <w:t>ypadkach,</w:t>
      </w:r>
      <w:r w:rsidR="00BE7466">
        <w:rPr>
          <w:rFonts w:asciiTheme="minorHAnsi" w:hAnsiTheme="minorHAnsi"/>
          <w:sz w:val="24"/>
          <w:szCs w:val="24"/>
        </w:rPr>
        <w:t xml:space="preserve"> w któ</w:t>
      </w:r>
      <w:r>
        <w:rPr>
          <w:rFonts w:asciiTheme="minorHAnsi" w:hAnsiTheme="minorHAnsi"/>
          <w:sz w:val="24"/>
          <w:szCs w:val="24"/>
        </w:rPr>
        <w:t>rych</w:t>
      </w:r>
      <w:r w:rsidR="00BE7466">
        <w:rPr>
          <w:rFonts w:asciiTheme="minorHAnsi" w:hAnsiTheme="minorHAnsi"/>
          <w:sz w:val="24"/>
          <w:szCs w:val="24"/>
        </w:rPr>
        <w:t xml:space="preserve"> w odn</w:t>
      </w:r>
      <w:r>
        <w:rPr>
          <w:rFonts w:asciiTheme="minorHAnsi" w:hAnsiTheme="minorHAnsi"/>
          <w:sz w:val="24"/>
          <w:szCs w:val="24"/>
        </w:rPr>
        <w:t>iesieniu do ich dziedziny Unia Europejska ani Zjednoczone Królestwo nie podjęły decyzji</w:t>
      </w:r>
      <w:r w:rsidR="00BE7466">
        <w:rPr>
          <w:rFonts w:asciiTheme="minorHAnsi" w:hAnsiTheme="minorHAnsi"/>
          <w:sz w:val="24"/>
          <w:szCs w:val="24"/>
        </w:rPr>
        <w:t xml:space="preserve"> o rów</w:t>
      </w:r>
      <w:r>
        <w:rPr>
          <w:rFonts w:asciiTheme="minorHAnsi" w:hAnsiTheme="minorHAnsi"/>
          <w:sz w:val="24"/>
          <w:szCs w:val="24"/>
        </w:rPr>
        <w:t xml:space="preserve">noważności.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 banki lub inwestorzy unijni, których działalność obecnie opiera się na usługodawcach</w:t>
      </w:r>
      <w:r w:rsidR="00BE7466">
        <w:rPr>
          <w:rFonts w:asciiTheme="minorHAnsi" w:hAnsiTheme="minorHAnsi"/>
          <w:sz w:val="24"/>
          <w:szCs w:val="24"/>
        </w:rPr>
        <w:t xml:space="preserve"> w Zje</w:t>
      </w:r>
      <w:r>
        <w:rPr>
          <w:rFonts w:asciiTheme="minorHAnsi" w:hAnsiTheme="minorHAnsi"/>
          <w:sz w:val="24"/>
          <w:szCs w:val="24"/>
        </w:rPr>
        <w:t>dnoczonym Królestwie, powinni rozważyć,</w:t>
      </w:r>
      <w:r w:rsidR="00BE7466">
        <w:rPr>
          <w:rFonts w:asciiTheme="minorHAnsi" w:hAnsiTheme="minorHAnsi"/>
          <w:sz w:val="24"/>
          <w:szCs w:val="24"/>
        </w:rPr>
        <w:t xml:space="preserve"> w jak</w:t>
      </w:r>
      <w:r>
        <w:rPr>
          <w:rFonts w:asciiTheme="minorHAnsi" w:hAnsiTheme="minorHAnsi"/>
          <w:sz w:val="24"/>
          <w:szCs w:val="24"/>
        </w:rPr>
        <w:t>i sposób może to wpłynąć na ich działalność</w:t>
      </w:r>
      <w:r w:rsidR="00BE7466">
        <w:rPr>
          <w:rFonts w:asciiTheme="minorHAnsi" w:hAnsiTheme="minorHAnsi"/>
          <w:sz w:val="24"/>
          <w:szCs w:val="24"/>
        </w:rPr>
        <w:t xml:space="preserve"> i pod</w:t>
      </w:r>
      <w:r>
        <w:rPr>
          <w:rFonts w:asciiTheme="minorHAnsi" w:hAnsiTheme="minorHAnsi"/>
          <w:sz w:val="24"/>
          <w:szCs w:val="24"/>
        </w:rPr>
        <w:t>jąć wszelkie niezbędne kroki, aby przygotować się na wszystkie możliwe scenariusze. Dostawcy usług finansowych z UE prowadzący działalność</w:t>
      </w:r>
      <w:r w:rsidR="00BE7466">
        <w:rPr>
          <w:rFonts w:asciiTheme="minorHAnsi" w:hAnsiTheme="minorHAnsi"/>
          <w:sz w:val="24"/>
          <w:szCs w:val="24"/>
        </w:rPr>
        <w:t xml:space="preserve"> w Zje</w:t>
      </w:r>
      <w:r>
        <w:rPr>
          <w:rFonts w:asciiTheme="minorHAnsi" w:hAnsiTheme="minorHAnsi"/>
          <w:sz w:val="24"/>
          <w:szCs w:val="24"/>
        </w:rPr>
        <w:t>dnoczonym Królestwie powinni również przygotować się do przestrzegania wszystkich stosownych przepisów Zjednoczonego Królestwa. Unijni uczestnicy rozliczający</w:t>
      </w:r>
      <w:r w:rsidR="00BE7466">
        <w:rPr>
          <w:rFonts w:asciiTheme="minorHAnsi" w:hAnsiTheme="minorHAnsi"/>
          <w:sz w:val="24"/>
          <w:szCs w:val="24"/>
        </w:rPr>
        <w:t xml:space="preserve"> u kon</w:t>
      </w:r>
      <w:r>
        <w:rPr>
          <w:rFonts w:asciiTheme="minorHAnsi" w:hAnsiTheme="minorHAnsi"/>
          <w:sz w:val="24"/>
          <w:szCs w:val="24"/>
        </w:rPr>
        <w:t>trahentów centralnych</w:t>
      </w:r>
      <w:r w:rsidR="00BE7466">
        <w:rPr>
          <w:rFonts w:asciiTheme="minorHAnsi" w:hAnsiTheme="minorHAnsi"/>
          <w:sz w:val="24"/>
          <w:szCs w:val="24"/>
        </w:rPr>
        <w:t xml:space="preserve"> w Zje</w:t>
      </w:r>
      <w:r>
        <w:rPr>
          <w:rFonts w:asciiTheme="minorHAnsi" w:hAnsiTheme="minorHAnsi"/>
          <w:sz w:val="24"/>
          <w:szCs w:val="24"/>
        </w:rPr>
        <w:t>dnoczonym Królestwie</w:t>
      </w:r>
      <w:r w:rsidR="00BE7466">
        <w:rPr>
          <w:rFonts w:asciiTheme="minorHAnsi" w:hAnsiTheme="minorHAnsi"/>
          <w:sz w:val="24"/>
          <w:szCs w:val="24"/>
        </w:rPr>
        <w:t xml:space="preserve"> i ich</w:t>
      </w:r>
      <w:r>
        <w:rPr>
          <w:rFonts w:asciiTheme="minorHAnsi" w:hAnsiTheme="minorHAnsi"/>
          <w:sz w:val="24"/>
          <w:szCs w:val="24"/>
        </w:rPr>
        <w:t xml:space="preserve"> klienci powinni podjąć aktywne działania</w:t>
      </w:r>
      <w:r w:rsidR="00BE7466">
        <w:rPr>
          <w:rFonts w:asciiTheme="minorHAnsi" w:hAnsiTheme="minorHAnsi"/>
          <w:sz w:val="24"/>
          <w:szCs w:val="24"/>
        </w:rPr>
        <w:t xml:space="preserve"> w cel</w:t>
      </w:r>
      <w:r>
        <w:rPr>
          <w:rFonts w:asciiTheme="minorHAnsi" w:hAnsiTheme="minorHAnsi"/>
          <w:sz w:val="24"/>
          <w:szCs w:val="24"/>
        </w:rPr>
        <w:t xml:space="preserve">u przygotowania się na wszystkie scenariusze, między innymi zmniejszyć swoją ekspozycję ogólnoustrojową na infrastrukturę rynku Zjednoczonego Królestwa.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Unijne</w:t>
      </w:r>
      <w:r w:rsidR="00BE7466">
        <w:rPr>
          <w:rFonts w:asciiTheme="minorHAnsi" w:hAnsiTheme="minorHAnsi"/>
          <w:sz w:val="24"/>
          <w:szCs w:val="24"/>
        </w:rPr>
        <w:t xml:space="preserve"> i kra</w:t>
      </w:r>
      <w:r>
        <w:rPr>
          <w:rFonts w:asciiTheme="minorHAnsi" w:hAnsiTheme="minorHAnsi"/>
          <w:sz w:val="24"/>
          <w:szCs w:val="24"/>
        </w:rPr>
        <w:t>jowe organy nadzoru</w:t>
      </w:r>
      <w:r w:rsidR="00BE7466">
        <w:rPr>
          <w:rFonts w:asciiTheme="minorHAnsi" w:hAnsiTheme="minorHAnsi"/>
          <w:sz w:val="24"/>
          <w:szCs w:val="24"/>
        </w:rPr>
        <w:t xml:space="preserve"> i reg</w:t>
      </w:r>
      <w:r>
        <w:rPr>
          <w:rFonts w:asciiTheme="minorHAnsi" w:hAnsiTheme="minorHAnsi"/>
          <w:sz w:val="24"/>
          <w:szCs w:val="24"/>
        </w:rPr>
        <w:t>ulacji będą musiały kontynuować dialog</w:t>
      </w:r>
      <w:r w:rsidR="00BE7466">
        <w:rPr>
          <w:rFonts w:asciiTheme="minorHAnsi" w:hAnsiTheme="minorHAnsi"/>
          <w:sz w:val="24"/>
          <w:szCs w:val="24"/>
        </w:rPr>
        <w:t xml:space="preserve"> z zai</w:t>
      </w:r>
      <w:r>
        <w:rPr>
          <w:rFonts w:asciiTheme="minorHAnsi" w:hAnsiTheme="minorHAnsi"/>
          <w:sz w:val="24"/>
          <w:szCs w:val="24"/>
        </w:rPr>
        <w:t>nteresowanymi stronami</w:t>
      </w:r>
      <w:r w:rsidR="00BE7466">
        <w:rPr>
          <w:rFonts w:asciiTheme="minorHAnsi" w:hAnsiTheme="minorHAnsi"/>
          <w:sz w:val="24"/>
          <w:szCs w:val="24"/>
        </w:rPr>
        <w:t xml:space="preserve"> w cel</w:t>
      </w:r>
      <w:r>
        <w:rPr>
          <w:rFonts w:asciiTheme="minorHAnsi" w:hAnsiTheme="minorHAnsi"/>
          <w:sz w:val="24"/>
          <w:szCs w:val="24"/>
        </w:rPr>
        <w:t>u zagwarantowania, że do końca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zostaną podjęte wszystkie niezbędne działania na rzecz osiągnięcia gotowości.</w:t>
      </w:r>
    </w:p>
    <w:p w:rsidR="005B5E63" w:rsidRDefault="00B858F1">
      <w:pPr>
        <w:pStyle w:val="Nagwek3"/>
      </w:pPr>
      <w:bookmarkStart w:id="10" w:name="_Toc46137003"/>
      <w:r>
        <w:lastRenderedPageBreak/>
        <w:t>B.2. Usługi transportowe</w:t>
      </w:r>
      <w:bookmarkEnd w:id="10"/>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w:t>
      </w:r>
      <w:r w:rsidR="00BE7466">
        <w:rPr>
          <w:rFonts w:asciiTheme="minorHAnsi" w:hAnsiTheme="minorHAnsi"/>
          <w:sz w:val="24"/>
          <w:szCs w:val="24"/>
        </w:rPr>
        <w:t xml:space="preserve"> w tym w jed</w:t>
      </w:r>
      <w:r>
        <w:rPr>
          <w:rFonts w:asciiTheme="minorHAnsi" w:hAnsiTheme="minorHAnsi"/>
          <w:sz w:val="24"/>
          <w:szCs w:val="24"/>
        </w:rPr>
        <w:t>nolitym rynku usług transportowych</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usługi kolejowe, usługi transportu lotniczego</w:t>
      </w:r>
      <w:r w:rsidR="00BE7466">
        <w:rPr>
          <w:rFonts w:asciiTheme="minorHAnsi" w:hAnsiTheme="minorHAnsi"/>
          <w:sz w:val="24"/>
          <w:szCs w:val="24"/>
        </w:rPr>
        <w:t xml:space="preserve"> i dzi</w:t>
      </w:r>
      <w:r>
        <w:rPr>
          <w:rFonts w:asciiTheme="minorHAnsi" w:hAnsiTheme="minorHAnsi"/>
          <w:sz w:val="24"/>
          <w:szCs w:val="24"/>
        </w:rPr>
        <w:t>ałania związane</w:t>
      </w:r>
      <w:r w:rsidR="00BE7466">
        <w:rPr>
          <w:rFonts w:asciiTheme="minorHAnsi" w:hAnsiTheme="minorHAnsi"/>
          <w:sz w:val="24"/>
          <w:szCs w:val="24"/>
        </w:rPr>
        <w:t xml:space="preserve"> z tra</w:t>
      </w:r>
      <w:r>
        <w:rPr>
          <w:rFonts w:asciiTheme="minorHAnsi" w:hAnsiTheme="minorHAnsi"/>
          <w:sz w:val="24"/>
          <w:szCs w:val="24"/>
        </w:rPr>
        <w:t>nsportem drogowym towarów mogą być obecnie wykonywane</w:t>
      </w:r>
      <w:r w:rsidR="00BE7466">
        <w:rPr>
          <w:rFonts w:asciiTheme="minorHAnsi" w:hAnsiTheme="minorHAnsi"/>
          <w:sz w:val="24"/>
          <w:szCs w:val="24"/>
        </w:rPr>
        <w:t xml:space="preserve"> w cał</w:t>
      </w:r>
      <w:r>
        <w:rPr>
          <w:rFonts w:asciiTheme="minorHAnsi" w:hAnsiTheme="minorHAnsi"/>
          <w:sz w:val="24"/>
          <w:szCs w:val="24"/>
        </w:rPr>
        <w:t>ej Unii Europejskiej na podstawie jednej licencji wydanej przez jedno państwo członkowskie</w:t>
      </w:r>
      <w:r w:rsidR="00BE7466">
        <w:rPr>
          <w:rFonts w:asciiTheme="minorHAnsi" w:hAnsiTheme="minorHAnsi"/>
          <w:sz w:val="24"/>
          <w:szCs w:val="24"/>
        </w:rPr>
        <w:t>. W okr</w:t>
      </w:r>
      <w:r>
        <w:rPr>
          <w:rFonts w:asciiTheme="minorHAnsi" w:hAnsiTheme="minorHAnsi"/>
          <w:sz w:val="24"/>
          <w:szCs w:val="24"/>
        </w:rPr>
        <w:t>esie przejściowym korzystają</w:t>
      </w:r>
      <w:r w:rsidR="00BE7466">
        <w:rPr>
          <w:rFonts w:asciiTheme="minorHAnsi" w:hAnsiTheme="minorHAnsi"/>
          <w:sz w:val="24"/>
          <w:szCs w:val="24"/>
        </w:rPr>
        <w:t xml:space="preserve"> z teg</w:t>
      </w:r>
      <w:r>
        <w:rPr>
          <w:rFonts w:asciiTheme="minorHAnsi" w:hAnsiTheme="minorHAnsi"/>
          <w:sz w:val="24"/>
          <w:szCs w:val="24"/>
        </w:rPr>
        <w:t>o również podmioty z UE</w:t>
      </w:r>
      <w:r w:rsidR="00BE7466">
        <w:rPr>
          <w:rFonts w:asciiTheme="minorHAnsi" w:hAnsiTheme="minorHAnsi"/>
          <w:sz w:val="24"/>
          <w:szCs w:val="24"/>
        </w:rPr>
        <w:t xml:space="preserve"> w Zje</w:t>
      </w:r>
      <w:r>
        <w:rPr>
          <w:rFonts w:asciiTheme="minorHAnsi" w:hAnsiTheme="minorHAnsi"/>
          <w:sz w:val="24"/>
          <w:szCs w:val="24"/>
        </w:rPr>
        <w:t>dnoczonym Królestwie.</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przedsiębiorstwa Zjednoczonego Królestwa nie będą już mogły świadczyć usług transportowych</w:t>
      </w:r>
      <w:r w:rsidR="00BE7466">
        <w:rPr>
          <w:rFonts w:asciiTheme="minorHAnsi" w:hAnsiTheme="minorHAnsi"/>
          <w:sz w:val="24"/>
          <w:szCs w:val="24"/>
        </w:rPr>
        <w:t xml:space="preserve"> w Uni</w:t>
      </w:r>
      <w:r>
        <w:rPr>
          <w:rFonts w:asciiTheme="minorHAnsi" w:hAnsiTheme="minorHAnsi"/>
          <w:sz w:val="24"/>
          <w:szCs w:val="24"/>
        </w:rPr>
        <w:t>i</w:t>
      </w:r>
      <w:r w:rsidR="00BE7466">
        <w:rPr>
          <w:rFonts w:asciiTheme="minorHAnsi" w:hAnsiTheme="minorHAnsi"/>
          <w:sz w:val="24"/>
          <w:szCs w:val="24"/>
        </w:rPr>
        <w:t xml:space="preserve"> w ram</w:t>
      </w:r>
      <w:r>
        <w:rPr>
          <w:rFonts w:asciiTheme="minorHAnsi" w:hAnsiTheme="minorHAnsi"/>
          <w:sz w:val="24"/>
          <w:szCs w:val="24"/>
        </w:rPr>
        <w:t>ach jednolitego rynku. Możliwości</w:t>
      </w:r>
      <w:r w:rsidR="00BE7466">
        <w:rPr>
          <w:rFonts w:asciiTheme="minorHAnsi" w:hAnsiTheme="minorHAnsi"/>
          <w:sz w:val="24"/>
          <w:szCs w:val="24"/>
        </w:rPr>
        <w:t xml:space="preserve"> i war</w:t>
      </w:r>
      <w:r>
        <w:rPr>
          <w:rFonts w:asciiTheme="minorHAnsi" w:hAnsiTheme="minorHAnsi"/>
          <w:sz w:val="24"/>
          <w:szCs w:val="24"/>
        </w:rPr>
        <w:t>unki świadczenia usług między Unią Europejską</w:t>
      </w:r>
      <w:r w:rsidR="00BE7466">
        <w:rPr>
          <w:rFonts w:asciiTheme="minorHAnsi" w:hAnsiTheme="minorHAnsi"/>
          <w:sz w:val="24"/>
          <w:szCs w:val="24"/>
        </w:rPr>
        <w:t xml:space="preserve"> a Zje</w:t>
      </w:r>
      <w:r>
        <w:rPr>
          <w:rFonts w:asciiTheme="minorHAnsi" w:hAnsiTheme="minorHAnsi"/>
          <w:sz w:val="24"/>
          <w:szCs w:val="24"/>
        </w:rPr>
        <w:t>dnoczonym Królestwem przez przewoźników z UE</w:t>
      </w:r>
      <w:r w:rsidR="00BE7466">
        <w:rPr>
          <w:rFonts w:asciiTheme="minorHAnsi" w:hAnsiTheme="minorHAnsi"/>
          <w:sz w:val="24"/>
          <w:szCs w:val="24"/>
        </w:rPr>
        <w:t xml:space="preserve"> i Zje</w:t>
      </w:r>
      <w:r>
        <w:rPr>
          <w:rFonts w:asciiTheme="minorHAnsi" w:hAnsiTheme="minorHAnsi"/>
          <w:sz w:val="24"/>
          <w:szCs w:val="24"/>
        </w:rPr>
        <w:t>dnoczonego Królestwa będą</w:t>
      </w:r>
      <w:r w:rsidR="00BE7466">
        <w:rPr>
          <w:rFonts w:asciiTheme="minorHAnsi" w:hAnsiTheme="minorHAnsi"/>
          <w:sz w:val="24"/>
          <w:szCs w:val="24"/>
        </w:rPr>
        <w:t xml:space="preserve"> w duż</w:t>
      </w:r>
      <w:r>
        <w:rPr>
          <w:rFonts w:asciiTheme="minorHAnsi" w:hAnsiTheme="minorHAnsi"/>
          <w:sz w:val="24"/>
          <w:szCs w:val="24"/>
        </w:rPr>
        <w:t>ej mierze zależeć od negocjacji</w:t>
      </w:r>
      <w:r w:rsidR="00BE7466">
        <w:rPr>
          <w:rFonts w:asciiTheme="minorHAnsi" w:hAnsiTheme="minorHAnsi"/>
          <w:sz w:val="24"/>
          <w:szCs w:val="24"/>
        </w:rPr>
        <w:t xml:space="preserve"> w spr</w:t>
      </w:r>
      <w:r>
        <w:rPr>
          <w:rFonts w:asciiTheme="minorHAnsi" w:hAnsiTheme="minorHAnsi"/>
          <w:sz w:val="24"/>
          <w:szCs w:val="24"/>
        </w:rPr>
        <w:t>awie przyszłych stosunków między UE</w:t>
      </w:r>
      <w:r w:rsidR="00BE7466">
        <w:rPr>
          <w:rFonts w:asciiTheme="minorHAnsi" w:hAnsiTheme="minorHAnsi"/>
          <w:sz w:val="24"/>
          <w:szCs w:val="24"/>
        </w:rPr>
        <w:t xml:space="preserve"> a Zje</w:t>
      </w:r>
      <w:r>
        <w:rPr>
          <w:rFonts w:asciiTheme="minorHAnsi" w:hAnsiTheme="minorHAnsi"/>
          <w:sz w:val="24"/>
          <w:szCs w:val="24"/>
        </w:rPr>
        <w:t>dnoczonym Królestwem</w:t>
      </w:r>
      <w:r w:rsidR="00BE7466">
        <w:rPr>
          <w:rFonts w:asciiTheme="minorHAnsi" w:hAnsiTheme="minorHAnsi"/>
          <w:sz w:val="24"/>
          <w:szCs w:val="24"/>
        </w:rPr>
        <w:t xml:space="preserve"> w dzi</w:t>
      </w:r>
      <w:r>
        <w:rPr>
          <w:rFonts w:asciiTheme="minorHAnsi" w:hAnsiTheme="minorHAnsi"/>
          <w:sz w:val="24"/>
          <w:szCs w:val="24"/>
        </w:rPr>
        <w:t>edzinie transportu.</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 xml:space="preserve">W każdym jednak razie </w:t>
      </w: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licencje wydane przedsiębiorstwom </w:t>
      </w:r>
      <w:r>
        <w:rPr>
          <w:rFonts w:asciiTheme="minorHAnsi" w:hAnsiTheme="minorHAnsi"/>
          <w:sz w:val="24"/>
          <w:szCs w:val="24"/>
          <w:u w:val="single"/>
        </w:rPr>
        <w:t>kolejowym</w:t>
      </w:r>
      <w:r>
        <w:rPr>
          <w:rFonts w:asciiTheme="minorHAnsi" w:hAnsiTheme="minorHAnsi"/>
          <w:sz w:val="24"/>
          <w:szCs w:val="24"/>
        </w:rPr>
        <w:t xml:space="preserve"> przez Zjednoczone Królestwo nie będą już ważne</w:t>
      </w:r>
      <w:r w:rsidR="00BE7466">
        <w:rPr>
          <w:rFonts w:asciiTheme="minorHAnsi" w:hAnsiTheme="minorHAnsi"/>
          <w:sz w:val="24"/>
          <w:szCs w:val="24"/>
        </w:rPr>
        <w:t xml:space="preserve"> w Uni</w:t>
      </w:r>
      <w:r>
        <w:rPr>
          <w:rFonts w:asciiTheme="minorHAnsi" w:hAnsiTheme="minorHAnsi"/>
          <w:sz w:val="24"/>
          <w:szCs w:val="24"/>
        </w:rPr>
        <w:t>i Europejskiej,</w:t>
      </w:r>
      <w:r w:rsidR="00BE7466">
        <w:rPr>
          <w:rFonts w:asciiTheme="minorHAnsi" w:hAnsiTheme="minorHAnsi"/>
          <w:sz w:val="24"/>
          <w:szCs w:val="24"/>
        </w:rPr>
        <w:t xml:space="preserve"> a świ</w:t>
      </w:r>
      <w:r>
        <w:rPr>
          <w:rFonts w:asciiTheme="minorHAnsi" w:hAnsiTheme="minorHAnsi"/>
          <w:sz w:val="24"/>
          <w:szCs w:val="24"/>
        </w:rPr>
        <w:t>adectwa lub licencje wydane maszynistom</w:t>
      </w:r>
      <w:r w:rsidR="00BE7466">
        <w:rPr>
          <w:rFonts w:asciiTheme="minorHAnsi" w:hAnsiTheme="minorHAnsi"/>
          <w:sz w:val="24"/>
          <w:szCs w:val="24"/>
        </w:rPr>
        <w:t xml:space="preserve"> w Zje</w:t>
      </w:r>
      <w:r>
        <w:rPr>
          <w:rFonts w:asciiTheme="minorHAnsi" w:hAnsiTheme="minorHAnsi"/>
          <w:sz w:val="24"/>
          <w:szCs w:val="24"/>
        </w:rPr>
        <w:t>dnoczonym Królestwie nie będą już ważne</w:t>
      </w:r>
      <w:r w:rsidR="00BE7466">
        <w:rPr>
          <w:rFonts w:asciiTheme="minorHAnsi" w:hAnsiTheme="minorHAnsi"/>
          <w:sz w:val="24"/>
          <w:szCs w:val="24"/>
        </w:rPr>
        <w:t xml:space="preserve"> w odn</w:t>
      </w:r>
      <w:r>
        <w:rPr>
          <w:rFonts w:asciiTheme="minorHAnsi" w:hAnsiTheme="minorHAnsi"/>
          <w:sz w:val="24"/>
          <w:szCs w:val="24"/>
        </w:rPr>
        <w:t>iesieniu do obsługi lokomotyw</w:t>
      </w:r>
      <w:r w:rsidR="00BE7466">
        <w:rPr>
          <w:rFonts w:asciiTheme="minorHAnsi" w:hAnsiTheme="minorHAnsi"/>
          <w:sz w:val="24"/>
          <w:szCs w:val="24"/>
        </w:rPr>
        <w:t xml:space="preserve"> i poc</w:t>
      </w:r>
      <w:r>
        <w:rPr>
          <w:rFonts w:asciiTheme="minorHAnsi" w:hAnsiTheme="minorHAnsi"/>
          <w:sz w:val="24"/>
          <w:szCs w:val="24"/>
        </w:rPr>
        <w:t>iągów</w:t>
      </w:r>
      <w:r w:rsidR="00BE7466">
        <w:rPr>
          <w:rFonts w:asciiTheme="minorHAnsi" w:hAnsiTheme="minorHAnsi"/>
          <w:sz w:val="24"/>
          <w:szCs w:val="24"/>
        </w:rPr>
        <w:t xml:space="preserve"> w sys</w:t>
      </w:r>
      <w:r>
        <w:rPr>
          <w:rFonts w:asciiTheme="minorHAnsi" w:hAnsiTheme="minorHAnsi"/>
          <w:sz w:val="24"/>
          <w:szCs w:val="24"/>
        </w:rPr>
        <w:t>temie kolejowym UE.</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Przedsiębiorstwa kolejowe Unii Europejskiej lub Zjednoczonego Królestwa świadczące usługi transgraniczne między Zjednoczonym Królestwem</w:t>
      </w:r>
      <w:r w:rsidR="00BE7466">
        <w:rPr>
          <w:rFonts w:asciiTheme="minorHAnsi" w:hAnsiTheme="minorHAnsi"/>
          <w:sz w:val="24"/>
          <w:szCs w:val="24"/>
        </w:rPr>
        <w:t xml:space="preserve"> a Uni</w:t>
      </w:r>
      <w:r>
        <w:rPr>
          <w:rFonts w:asciiTheme="minorHAnsi" w:hAnsiTheme="minorHAnsi"/>
          <w:sz w:val="24"/>
          <w:szCs w:val="24"/>
        </w:rPr>
        <w:t>ą Europejską będą musiały spełniać wymogi prawne obowiązujące zarówno</w:t>
      </w:r>
      <w:r w:rsidR="00BE7466">
        <w:rPr>
          <w:rFonts w:asciiTheme="minorHAnsi" w:hAnsiTheme="minorHAnsi"/>
          <w:sz w:val="24"/>
          <w:szCs w:val="24"/>
        </w:rPr>
        <w:t xml:space="preserve"> w Uni</w:t>
      </w:r>
      <w:r>
        <w:rPr>
          <w:rFonts w:asciiTheme="minorHAnsi" w:hAnsiTheme="minorHAnsi"/>
          <w:sz w:val="24"/>
          <w:szCs w:val="24"/>
        </w:rPr>
        <w:t>i Europejskiej, jak</w:t>
      </w:r>
      <w:r w:rsidR="00BE7466">
        <w:rPr>
          <w:rFonts w:asciiTheme="minorHAnsi" w:hAnsiTheme="minorHAnsi"/>
          <w:sz w:val="24"/>
          <w:szCs w:val="24"/>
        </w:rPr>
        <w:t xml:space="preserve"> i w Zje</w:t>
      </w:r>
      <w:r>
        <w:rPr>
          <w:rFonts w:asciiTheme="minorHAnsi" w:hAnsiTheme="minorHAnsi"/>
          <w:sz w:val="24"/>
          <w:szCs w:val="24"/>
        </w:rPr>
        <w:t>dnoczonym Królestwie. Dotyczy to licencji</w:t>
      </w:r>
      <w:r w:rsidR="00BE7466">
        <w:rPr>
          <w:rFonts w:asciiTheme="minorHAnsi" w:hAnsiTheme="minorHAnsi"/>
          <w:sz w:val="24"/>
          <w:szCs w:val="24"/>
        </w:rPr>
        <w:t xml:space="preserve"> i cer</w:t>
      </w:r>
      <w:r>
        <w:rPr>
          <w:rFonts w:asciiTheme="minorHAnsi" w:hAnsiTheme="minorHAnsi"/>
          <w:sz w:val="24"/>
          <w:szCs w:val="24"/>
        </w:rPr>
        <w:t>tyfikatu bezpieczeństwa dla przedsiębiorstwa kolejowego, zezwoleń na tabor kolejowy oraz licencji dla personelu (maszynistów). Zainteresowane strony muszą zatem upewnić się, że posiadają zezwolenia ważne</w:t>
      </w:r>
      <w:r w:rsidR="00BE7466">
        <w:rPr>
          <w:rFonts w:asciiTheme="minorHAnsi" w:hAnsiTheme="minorHAnsi"/>
          <w:sz w:val="24"/>
          <w:szCs w:val="24"/>
        </w:rPr>
        <w:t xml:space="preserve"> w Uni</w:t>
      </w:r>
      <w:r>
        <w:rPr>
          <w:rFonts w:asciiTheme="minorHAnsi" w:hAnsiTheme="minorHAnsi"/>
          <w:sz w:val="24"/>
          <w:szCs w:val="24"/>
        </w:rPr>
        <w:t>i Europejskiej na odcinki świadczenia usług transgranicznych znajdujące się na terytorium Unii Europejskiej oraz zezwolenia ważne</w:t>
      </w:r>
      <w:r w:rsidR="00BE7466">
        <w:rPr>
          <w:rFonts w:asciiTheme="minorHAnsi" w:hAnsiTheme="minorHAnsi"/>
          <w:sz w:val="24"/>
          <w:szCs w:val="24"/>
        </w:rPr>
        <w:t xml:space="preserve"> w Zje</w:t>
      </w:r>
      <w:r>
        <w:rPr>
          <w:rFonts w:asciiTheme="minorHAnsi" w:hAnsiTheme="minorHAnsi"/>
          <w:sz w:val="24"/>
          <w:szCs w:val="24"/>
        </w:rPr>
        <w:t xml:space="preserve">dnoczonym Królestwie na odcinki świadczenia usług transgranicznych znajdujące się na terytorium Zjednoczonego Królestwa.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 xml:space="preserve">W każdym przypadku </w:t>
      </w: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w:t>
      </w:r>
      <w:r>
        <w:rPr>
          <w:rFonts w:asciiTheme="minorHAnsi" w:hAnsiTheme="minorHAnsi"/>
          <w:sz w:val="24"/>
          <w:szCs w:val="24"/>
          <w:u w:val="single"/>
        </w:rPr>
        <w:t>przewoźnicy lotniczy</w:t>
      </w:r>
      <w:r>
        <w:rPr>
          <w:rFonts w:asciiTheme="minorHAnsi" w:hAnsiTheme="minorHAnsi"/>
          <w:sz w:val="24"/>
          <w:szCs w:val="24"/>
        </w:rPr>
        <w:t xml:space="preserve"> posiadający licencje wydane przez organ Zjednoczonego Królestwa wydający licencje na zarobkowy lotniczy przewóz osób, poczty lub towarów nie będą już mogli świadczyć usług transportu lotniczego na obszarze Unii Europejskiej.</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Unijni przewoźnicy lotniczy</w:t>
      </w:r>
      <w:r w:rsidR="00BE7466">
        <w:rPr>
          <w:rFonts w:asciiTheme="minorHAnsi" w:hAnsiTheme="minorHAnsi"/>
          <w:sz w:val="24"/>
          <w:szCs w:val="24"/>
        </w:rPr>
        <w:t xml:space="preserve"> i pos</w:t>
      </w:r>
      <w:r>
        <w:rPr>
          <w:rFonts w:asciiTheme="minorHAnsi" w:hAnsiTheme="minorHAnsi"/>
          <w:sz w:val="24"/>
          <w:szCs w:val="24"/>
        </w:rPr>
        <w:t>iadacze certyfikatów bezpieczeństwa lotniczego będą musieli zapewnić</w:t>
      </w:r>
      <w:r w:rsidR="00BE7466">
        <w:rPr>
          <w:rFonts w:asciiTheme="minorHAnsi" w:hAnsiTheme="minorHAnsi"/>
          <w:sz w:val="24"/>
          <w:szCs w:val="24"/>
        </w:rPr>
        <w:t xml:space="preserve"> i utr</w:t>
      </w:r>
      <w:r>
        <w:rPr>
          <w:rFonts w:asciiTheme="minorHAnsi" w:hAnsiTheme="minorHAnsi"/>
          <w:sz w:val="24"/>
          <w:szCs w:val="24"/>
        </w:rPr>
        <w:t>zymać zgodność</w:t>
      </w:r>
      <w:r w:rsidR="00BE7466">
        <w:rPr>
          <w:rFonts w:asciiTheme="minorHAnsi" w:hAnsiTheme="minorHAnsi"/>
          <w:sz w:val="24"/>
          <w:szCs w:val="24"/>
        </w:rPr>
        <w:t xml:space="preserve"> z uni</w:t>
      </w:r>
      <w:r>
        <w:rPr>
          <w:rFonts w:asciiTheme="minorHAnsi" w:hAnsiTheme="minorHAnsi"/>
          <w:sz w:val="24"/>
          <w:szCs w:val="24"/>
        </w:rPr>
        <w:t>jnymi wymogami,</w:t>
      </w:r>
      <w:r w:rsidR="00BE7466">
        <w:rPr>
          <w:rFonts w:asciiTheme="minorHAnsi" w:hAnsiTheme="minorHAnsi"/>
          <w:sz w:val="24"/>
          <w:szCs w:val="24"/>
        </w:rPr>
        <w:t xml:space="preserve"> w tym z wym</w:t>
      </w:r>
      <w:r>
        <w:rPr>
          <w:rFonts w:asciiTheme="minorHAnsi" w:hAnsiTheme="minorHAnsi"/>
          <w:sz w:val="24"/>
          <w:szCs w:val="24"/>
        </w:rPr>
        <w:t>ogami dla linii lotniczych dotyczącymi głównego miejsca prowadzenia działalności oraz większościowych udziałów</w:t>
      </w:r>
      <w:r w:rsidR="00BE7466">
        <w:rPr>
          <w:rFonts w:asciiTheme="minorHAnsi" w:hAnsiTheme="minorHAnsi"/>
          <w:sz w:val="24"/>
          <w:szCs w:val="24"/>
        </w:rPr>
        <w:t xml:space="preserve"> i kon</w:t>
      </w:r>
      <w:r>
        <w:rPr>
          <w:rFonts w:asciiTheme="minorHAnsi" w:hAnsiTheme="minorHAnsi"/>
          <w:sz w:val="24"/>
          <w:szCs w:val="24"/>
        </w:rPr>
        <w:t>troli w UE, jak również</w:t>
      </w:r>
      <w:r w:rsidR="00BE7466">
        <w:rPr>
          <w:rFonts w:asciiTheme="minorHAnsi" w:hAnsiTheme="minorHAnsi"/>
          <w:sz w:val="24"/>
          <w:szCs w:val="24"/>
        </w:rPr>
        <w:t xml:space="preserve"> z dor</w:t>
      </w:r>
      <w:r>
        <w:rPr>
          <w:rFonts w:asciiTheme="minorHAnsi" w:hAnsiTheme="minorHAnsi"/>
          <w:sz w:val="24"/>
          <w:szCs w:val="24"/>
        </w:rPr>
        <w:t>obkiem prawnym UE</w:t>
      </w:r>
      <w:r w:rsidR="00BE7466">
        <w:rPr>
          <w:rFonts w:asciiTheme="minorHAnsi" w:hAnsiTheme="minorHAnsi"/>
          <w:sz w:val="24"/>
          <w:szCs w:val="24"/>
        </w:rPr>
        <w:t xml:space="preserve"> w dzi</w:t>
      </w:r>
      <w:r>
        <w:rPr>
          <w:rFonts w:asciiTheme="minorHAnsi" w:hAnsiTheme="minorHAnsi"/>
          <w:sz w:val="24"/>
          <w:szCs w:val="24"/>
        </w:rPr>
        <w:t xml:space="preserve">edzinie bezpieczeństwa lotniczego.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 xml:space="preserve">W każdym przypadku </w:t>
      </w: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w:t>
      </w:r>
      <w:r>
        <w:rPr>
          <w:rFonts w:asciiTheme="minorHAnsi" w:hAnsiTheme="minorHAnsi"/>
          <w:sz w:val="24"/>
          <w:szCs w:val="24"/>
          <w:u w:val="single"/>
        </w:rPr>
        <w:t>przewoźnicy drogowi</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Zje</w:t>
      </w:r>
      <w:r>
        <w:rPr>
          <w:rFonts w:asciiTheme="minorHAnsi" w:hAnsiTheme="minorHAnsi"/>
          <w:sz w:val="24"/>
          <w:szCs w:val="24"/>
        </w:rPr>
        <w:t>dnoczonym Królestwie utracą licencję wspólnotową</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nie będą oni już korzystać</w:t>
      </w:r>
      <w:r w:rsidR="00BE7466">
        <w:rPr>
          <w:rFonts w:asciiTheme="minorHAnsi" w:hAnsiTheme="minorHAnsi"/>
          <w:sz w:val="24"/>
          <w:szCs w:val="24"/>
        </w:rPr>
        <w:t xml:space="preserve"> z pra</w:t>
      </w:r>
      <w:r>
        <w:rPr>
          <w:rFonts w:asciiTheme="minorHAnsi" w:hAnsiTheme="minorHAnsi"/>
          <w:sz w:val="24"/>
          <w:szCs w:val="24"/>
        </w:rPr>
        <w:t>w automatycznego dostępu do jednolitego rynku,</w:t>
      </w:r>
      <w:r w:rsidR="00BE7466">
        <w:rPr>
          <w:rFonts w:asciiTheme="minorHAnsi" w:hAnsiTheme="minorHAnsi"/>
          <w:sz w:val="24"/>
          <w:szCs w:val="24"/>
        </w:rPr>
        <w:t xml:space="preserve"> z któ</w:t>
      </w:r>
      <w:r>
        <w:rPr>
          <w:rFonts w:asciiTheme="minorHAnsi" w:hAnsiTheme="minorHAnsi"/>
          <w:sz w:val="24"/>
          <w:szCs w:val="24"/>
        </w:rPr>
        <w:t>rymi wiąże się posiadanie takiej licencji,</w:t>
      </w:r>
      <w:r w:rsidR="00BE7466">
        <w:rPr>
          <w:rFonts w:asciiTheme="minorHAnsi" w:hAnsiTheme="minorHAnsi"/>
          <w:sz w:val="24"/>
          <w:szCs w:val="24"/>
        </w:rPr>
        <w:t xml:space="preserve"> a mia</w:t>
      </w:r>
      <w:r>
        <w:rPr>
          <w:rFonts w:asciiTheme="minorHAnsi" w:hAnsiTheme="minorHAnsi"/>
          <w:sz w:val="24"/>
          <w:szCs w:val="24"/>
        </w:rPr>
        <w:t>nowicie</w:t>
      </w:r>
      <w:r w:rsidR="00BE7466">
        <w:rPr>
          <w:rFonts w:asciiTheme="minorHAnsi" w:hAnsiTheme="minorHAnsi"/>
          <w:sz w:val="24"/>
          <w:szCs w:val="24"/>
        </w:rPr>
        <w:t xml:space="preserve"> z pra</w:t>
      </w:r>
      <w:r>
        <w:rPr>
          <w:rFonts w:asciiTheme="minorHAnsi" w:hAnsiTheme="minorHAnsi"/>
          <w:sz w:val="24"/>
          <w:szCs w:val="24"/>
        </w:rPr>
        <w:t>wa unijnych podmiotów gospodarczych do przejazdów</w:t>
      </w:r>
      <w:r w:rsidR="00BE7466">
        <w:rPr>
          <w:rFonts w:asciiTheme="minorHAnsi" w:hAnsiTheme="minorHAnsi"/>
          <w:sz w:val="24"/>
          <w:szCs w:val="24"/>
        </w:rPr>
        <w:t xml:space="preserve"> i prz</w:t>
      </w:r>
      <w:r>
        <w:rPr>
          <w:rFonts w:asciiTheme="minorHAnsi" w:hAnsiTheme="minorHAnsi"/>
          <w:sz w:val="24"/>
          <w:szCs w:val="24"/>
        </w:rPr>
        <w:t xml:space="preserve">ewozu towarów na obszarze Unii.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lastRenderedPageBreak/>
        <w:t>Prawa dostępu do poszczególnych rynków, jakie będą mieli operatorzy z UE i ze Zjednoczonego Królestwa, będą zależeć od wyniku negocjacji między UE</w:t>
      </w:r>
      <w:r w:rsidR="00BE7466">
        <w:rPr>
          <w:rFonts w:asciiTheme="minorHAnsi" w:hAnsiTheme="minorHAnsi"/>
          <w:sz w:val="24"/>
          <w:szCs w:val="24"/>
        </w:rPr>
        <w:t xml:space="preserve"> a Zje</w:t>
      </w:r>
      <w:r>
        <w:rPr>
          <w:rFonts w:asciiTheme="minorHAnsi" w:hAnsiTheme="minorHAnsi"/>
          <w:sz w:val="24"/>
          <w:szCs w:val="24"/>
        </w:rPr>
        <w:t>dnoczonym Królestwem</w:t>
      </w:r>
      <w:r w:rsidR="00BE7466">
        <w:rPr>
          <w:rFonts w:asciiTheme="minorHAnsi" w:hAnsiTheme="minorHAnsi"/>
          <w:sz w:val="24"/>
          <w:szCs w:val="24"/>
        </w:rPr>
        <w:t>. W prz</w:t>
      </w:r>
      <w:r>
        <w:rPr>
          <w:rFonts w:asciiTheme="minorHAnsi" w:hAnsiTheme="minorHAnsi"/>
          <w:sz w:val="24"/>
          <w:szCs w:val="24"/>
        </w:rPr>
        <w:t>ypadku braku porozumienia ograniczone kontyngenty, które są już dostępne</w:t>
      </w:r>
      <w:r w:rsidR="00BE7466">
        <w:rPr>
          <w:rFonts w:asciiTheme="minorHAnsi" w:hAnsiTheme="minorHAnsi"/>
          <w:sz w:val="24"/>
          <w:szCs w:val="24"/>
        </w:rPr>
        <w:t xml:space="preserve"> w ram</w:t>
      </w:r>
      <w:r>
        <w:rPr>
          <w:rFonts w:asciiTheme="minorHAnsi" w:hAnsiTheme="minorHAnsi"/>
          <w:sz w:val="24"/>
          <w:szCs w:val="24"/>
        </w:rPr>
        <w:t>ach mechanizmu Międzynarodowego Forum Transportu, będą dostępne dla przewoźników z UE na potrzeby przejazdów do Zjednoczonego Królestwa,</w:t>
      </w:r>
      <w:r w:rsidR="00BE7466">
        <w:rPr>
          <w:rFonts w:asciiTheme="minorHAnsi" w:hAnsiTheme="minorHAnsi"/>
          <w:sz w:val="24"/>
          <w:szCs w:val="24"/>
        </w:rPr>
        <w:t xml:space="preserve"> a dla</w:t>
      </w:r>
      <w:r>
        <w:rPr>
          <w:rFonts w:asciiTheme="minorHAnsi" w:hAnsiTheme="minorHAnsi"/>
          <w:sz w:val="24"/>
          <w:szCs w:val="24"/>
        </w:rPr>
        <w:t xml:space="preserve"> przewoźników ze Zjednoczonego Królestwa – na potrzeby przejazdów do UE. </w:t>
      </w:r>
    </w:p>
    <w:p w:rsidR="005B5E63" w:rsidRDefault="005B5E63">
      <w:pPr>
        <w:spacing w:after="120"/>
        <w:jc w:val="both"/>
        <w:rPr>
          <w:rFonts w:asciiTheme="minorHAnsi" w:hAnsiTheme="minorHAnsi" w:cstheme="minorHAnsi"/>
          <w:sz w:val="24"/>
          <w:szCs w:val="24"/>
        </w:rPr>
      </w:pP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Wszystkie przedsiębiorstwa transportowe prowadzące działalność między Unią Europejską</w:t>
      </w:r>
      <w:r w:rsidR="00BE7466">
        <w:rPr>
          <w:rFonts w:asciiTheme="minorHAnsi" w:hAnsiTheme="minorHAnsi"/>
          <w:sz w:val="24"/>
          <w:szCs w:val="24"/>
        </w:rPr>
        <w:t xml:space="preserve"> a Zje</w:t>
      </w:r>
      <w:r>
        <w:rPr>
          <w:rFonts w:asciiTheme="minorHAnsi" w:hAnsiTheme="minorHAnsi"/>
          <w:sz w:val="24"/>
          <w:szCs w:val="24"/>
        </w:rPr>
        <w:t>dnoczonym Królestwem muszą zapewnić odpowiednio zgodność</w:t>
      </w:r>
      <w:r w:rsidR="00BE7466">
        <w:rPr>
          <w:rFonts w:asciiTheme="minorHAnsi" w:hAnsiTheme="minorHAnsi"/>
          <w:sz w:val="24"/>
          <w:szCs w:val="24"/>
        </w:rPr>
        <w:t xml:space="preserve"> z wym</w:t>
      </w:r>
      <w:r>
        <w:rPr>
          <w:rFonts w:asciiTheme="minorHAnsi" w:hAnsiTheme="minorHAnsi"/>
          <w:sz w:val="24"/>
          <w:szCs w:val="24"/>
        </w:rPr>
        <w:t>ogami certyfikacyjnymi UE</w:t>
      </w:r>
      <w:r w:rsidR="00BE7466">
        <w:rPr>
          <w:rFonts w:asciiTheme="minorHAnsi" w:hAnsiTheme="minorHAnsi"/>
          <w:sz w:val="24"/>
          <w:szCs w:val="24"/>
        </w:rPr>
        <w:t xml:space="preserve"> i Zje</w:t>
      </w:r>
      <w:r>
        <w:rPr>
          <w:rFonts w:asciiTheme="minorHAnsi" w:hAnsiTheme="minorHAnsi"/>
          <w:sz w:val="24"/>
          <w:szCs w:val="24"/>
        </w:rPr>
        <w:t>dnoczonego Królestwa od dnia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sz w:val="24"/>
          <w:szCs w:val="24"/>
        </w:rPr>
        <w:t>Prawa dostępu do transportu lotniczego</w:t>
      </w:r>
      <w:r w:rsidR="00BE7466">
        <w:rPr>
          <w:rFonts w:asciiTheme="minorHAnsi" w:hAnsiTheme="minorHAnsi"/>
          <w:sz w:val="24"/>
          <w:szCs w:val="24"/>
        </w:rPr>
        <w:t xml:space="preserve"> i dro</w:t>
      </w:r>
      <w:r>
        <w:rPr>
          <w:rFonts w:asciiTheme="minorHAnsi" w:hAnsiTheme="minorHAnsi"/>
          <w:sz w:val="24"/>
          <w:szCs w:val="24"/>
        </w:rPr>
        <w:t>gowego między Unią</w:t>
      </w:r>
      <w:r w:rsidR="00BE7466">
        <w:rPr>
          <w:rFonts w:asciiTheme="minorHAnsi" w:hAnsiTheme="minorHAnsi"/>
          <w:sz w:val="24"/>
          <w:szCs w:val="24"/>
        </w:rPr>
        <w:t xml:space="preserve"> a Zje</w:t>
      </w:r>
      <w:r>
        <w:rPr>
          <w:rFonts w:asciiTheme="minorHAnsi" w:hAnsiTheme="minorHAnsi"/>
          <w:sz w:val="24"/>
          <w:szCs w:val="24"/>
        </w:rPr>
        <w:t>dnoczonym Królestwem będą</w:t>
      </w:r>
      <w:r w:rsidR="00BE7466">
        <w:rPr>
          <w:rFonts w:asciiTheme="minorHAnsi" w:hAnsiTheme="minorHAnsi"/>
          <w:sz w:val="24"/>
          <w:szCs w:val="24"/>
        </w:rPr>
        <w:t xml:space="preserve"> w duż</w:t>
      </w:r>
      <w:r>
        <w:rPr>
          <w:rFonts w:asciiTheme="minorHAnsi" w:hAnsiTheme="minorHAnsi"/>
          <w:sz w:val="24"/>
          <w:szCs w:val="24"/>
        </w:rPr>
        <w:t xml:space="preserve">ej mierze zależały od wyniku negocjacji ze Zjednoczonym Królestwem.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W każdym przypadku zmiany</w:t>
      </w:r>
      <w:r w:rsidR="00BE7466">
        <w:rPr>
          <w:rFonts w:asciiTheme="minorHAnsi" w:hAnsiTheme="minorHAnsi"/>
          <w:sz w:val="24"/>
          <w:szCs w:val="24"/>
        </w:rPr>
        <w:t xml:space="preserve"> w zak</w:t>
      </w:r>
      <w:r>
        <w:rPr>
          <w:rFonts w:asciiTheme="minorHAnsi" w:hAnsiTheme="minorHAnsi"/>
          <w:sz w:val="24"/>
          <w:szCs w:val="24"/>
        </w:rPr>
        <w:t>resie formalności wymaganych przy przekraczaniu granicy między Zjednoczonym Królestwem a UE będą miały wpływ na przewoźników</w:t>
      </w:r>
      <w:r>
        <w:rPr>
          <w:rStyle w:val="Odwoanieprzypisudolnego"/>
          <w:rFonts w:asciiTheme="minorHAnsi" w:hAnsiTheme="minorHAnsi" w:cstheme="minorHAnsi"/>
          <w:sz w:val="24"/>
          <w:szCs w:val="24"/>
        </w:rPr>
        <w:footnoteReference w:id="22"/>
      </w:r>
      <w:r>
        <w:rPr>
          <w:rFonts w:asciiTheme="minorHAnsi" w:hAnsiTheme="minorHAnsi"/>
          <w:sz w:val="24"/>
          <w:szCs w:val="24"/>
        </w:rPr>
        <w:t>. Poza przepisami dotyczącymi transportu właściwymi dla danego sektora administracje państw członkowskich UE powinny zintensyfikować działania mające na celu zwiększenie świadomości, skierowane</w:t>
      </w:r>
      <w:r w:rsidR="00BE7466">
        <w:rPr>
          <w:rFonts w:asciiTheme="minorHAnsi" w:hAnsiTheme="minorHAnsi"/>
          <w:sz w:val="24"/>
          <w:szCs w:val="24"/>
        </w:rPr>
        <w:t xml:space="preserve"> w szc</w:t>
      </w:r>
      <w:r>
        <w:rPr>
          <w:rFonts w:asciiTheme="minorHAnsi" w:hAnsiTheme="minorHAnsi"/>
          <w:sz w:val="24"/>
          <w:szCs w:val="24"/>
        </w:rPr>
        <w:t>zególności do MŚP, na temat sposobu,</w:t>
      </w:r>
      <w:r w:rsidR="00BE7466">
        <w:rPr>
          <w:rFonts w:asciiTheme="minorHAnsi" w:hAnsiTheme="minorHAnsi"/>
          <w:sz w:val="24"/>
          <w:szCs w:val="24"/>
        </w:rPr>
        <w:t xml:space="preserve"> w jak</w:t>
      </w:r>
      <w:r>
        <w:rPr>
          <w:rFonts w:asciiTheme="minorHAnsi" w:hAnsiTheme="minorHAnsi"/>
          <w:sz w:val="24"/>
          <w:szCs w:val="24"/>
        </w:rPr>
        <w:t>i formalności na granicach wpłyną</w:t>
      </w:r>
      <w:r w:rsidR="00BE7466">
        <w:rPr>
          <w:rFonts w:asciiTheme="minorHAnsi" w:hAnsiTheme="minorHAnsi"/>
          <w:sz w:val="24"/>
          <w:szCs w:val="24"/>
        </w:rPr>
        <w:t xml:space="preserve"> w prz</w:t>
      </w:r>
      <w:r>
        <w:rPr>
          <w:rFonts w:asciiTheme="minorHAnsi" w:hAnsiTheme="minorHAnsi"/>
          <w:sz w:val="24"/>
          <w:szCs w:val="24"/>
        </w:rPr>
        <w:t>yszłości na przewoźników</w:t>
      </w:r>
      <w:r w:rsidR="00BE7466">
        <w:rPr>
          <w:rFonts w:asciiTheme="minorHAnsi" w:hAnsiTheme="minorHAnsi"/>
          <w:sz w:val="24"/>
          <w:szCs w:val="24"/>
        </w:rPr>
        <w:t xml:space="preserve"> i prz</w:t>
      </w:r>
      <w:r>
        <w:rPr>
          <w:rFonts w:asciiTheme="minorHAnsi" w:hAnsiTheme="minorHAnsi"/>
          <w:sz w:val="24"/>
          <w:szCs w:val="24"/>
        </w:rPr>
        <w:t>edsiębiorstwa zajmujące się logistyką,</w:t>
      </w:r>
      <w:r w:rsidR="00BE7466">
        <w:rPr>
          <w:rFonts w:asciiTheme="minorHAnsi" w:hAnsiTheme="minorHAnsi"/>
          <w:sz w:val="24"/>
          <w:szCs w:val="24"/>
        </w:rPr>
        <w:t xml:space="preserve"> a tak</w:t>
      </w:r>
      <w:r>
        <w:rPr>
          <w:rFonts w:asciiTheme="minorHAnsi" w:hAnsiTheme="minorHAnsi"/>
          <w:sz w:val="24"/>
          <w:szCs w:val="24"/>
        </w:rPr>
        <w:t>że na pasażerów</w:t>
      </w:r>
      <w:r w:rsidR="00BE7466">
        <w:rPr>
          <w:rFonts w:asciiTheme="minorHAnsi" w:hAnsiTheme="minorHAnsi"/>
          <w:sz w:val="24"/>
          <w:szCs w:val="24"/>
        </w:rPr>
        <w:t xml:space="preserve"> i pra</w:t>
      </w:r>
      <w:r>
        <w:rPr>
          <w:rFonts w:asciiTheme="minorHAnsi" w:hAnsiTheme="minorHAnsi"/>
          <w:sz w:val="24"/>
          <w:szCs w:val="24"/>
        </w:rPr>
        <w:t>cowników przygranicznych. Obejmuje to również odprawę graniczną osób – wiążącą się</w:t>
      </w:r>
      <w:r w:rsidR="00BE7466">
        <w:rPr>
          <w:rFonts w:asciiTheme="minorHAnsi" w:hAnsiTheme="minorHAnsi"/>
          <w:sz w:val="24"/>
          <w:szCs w:val="24"/>
        </w:rPr>
        <w:t xml:space="preserve"> z wer</w:t>
      </w:r>
      <w:r>
        <w:rPr>
          <w:rFonts w:asciiTheme="minorHAnsi" w:hAnsiTheme="minorHAnsi"/>
          <w:sz w:val="24"/>
          <w:szCs w:val="24"/>
        </w:rPr>
        <w:t>yfikacją wymogów dotyczących wjazdu</w:t>
      </w:r>
      <w:r w:rsidR="00BE7466">
        <w:rPr>
          <w:rFonts w:asciiTheme="minorHAnsi" w:hAnsiTheme="minorHAnsi"/>
          <w:sz w:val="24"/>
          <w:szCs w:val="24"/>
        </w:rPr>
        <w:t xml:space="preserve"> i pob</w:t>
      </w:r>
      <w:r>
        <w:rPr>
          <w:rFonts w:asciiTheme="minorHAnsi" w:hAnsiTheme="minorHAnsi"/>
          <w:sz w:val="24"/>
          <w:szCs w:val="24"/>
        </w:rPr>
        <w:t>ytu, stemplowaniem paszportów oraz,</w:t>
      </w:r>
      <w:r w:rsidR="00BE7466">
        <w:rPr>
          <w:rFonts w:asciiTheme="minorHAnsi" w:hAnsiTheme="minorHAnsi"/>
          <w:sz w:val="24"/>
          <w:szCs w:val="24"/>
        </w:rPr>
        <w:t xml:space="preserve"> w sto</w:t>
      </w:r>
      <w:r>
        <w:rPr>
          <w:rFonts w:asciiTheme="minorHAnsi" w:hAnsiTheme="minorHAnsi"/>
          <w:sz w:val="24"/>
          <w:szCs w:val="24"/>
        </w:rPr>
        <w:t>sownych przypadkach, obowiązkami wizowymi.</w:t>
      </w:r>
    </w:p>
    <w:p w:rsidR="005B5E63" w:rsidRDefault="00B858F1">
      <w:pPr>
        <w:pStyle w:val="Nagwek3"/>
      </w:pPr>
      <w:bookmarkStart w:id="11" w:name="_Toc46137004"/>
      <w:r>
        <w:t>B.3. Usługi audiowizualne</w:t>
      </w:r>
      <w:bookmarkEnd w:id="11"/>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usług audiowizualnych</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obecnie obowiązuje zasada kraju pochodzenia, zgodnie</w:t>
      </w:r>
      <w:r w:rsidR="00BE7466">
        <w:rPr>
          <w:rFonts w:asciiTheme="minorHAnsi" w:hAnsiTheme="minorHAnsi"/>
          <w:sz w:val="24"/>
          <w:szCs w:val="24"/>
        </w:rPr>
        <w:t xml:space="preserve"> z któ</w:t>
      </w:r>
      <w:r>
        <w:rPr>
          <w:rFonts w:asciiTheme="minorHAnsi" w:hAnsiTheme="minorHAnsi"/>
          <w:sz w:val="24"/>
          <w:szCs w:val="24"/>
        </w:rPr>
        <w:t>rą każdy usługodawca mający siedzibę</w:t>
      </w:r>
      <w:r w:rsidR="00BE7466">
        <w:rPr>
          <w:rFonts w:asciiTheme="minorHAnsi" w:hAnsiTheme="minorHAnsi"/>
          <w:sz w:val="24"/>
          <w:szCs w:val="24"/>
        </w:rPr>
        <w:t xml:space="preserve"> w pań</w:t>
      </w:r>
      <w:r>
        <w:rPr>
          <w:rFonts w:asciiTheme="minorHAnsi" w:hAnsiTheme="minorHAnsi"/>
          <w:sz w:val="24"/>
          <w:szCs w:val="24"/>
        </w:rPr>
        <w:t>stwie członkowskim</w:t>
      </w:r>
      <w:r w:rsidR="00BE7466">
        <w:rPr>
          <w:rFonts w:asciiTheme="minorHAnsi" w:hAnsiTheme="minorHAnsi"/>
          <w:sz w:val="24"/>
          <w:szCs w:val="24"/>
        </w:rPr>
        <w:t xml:space="preserve"> i prz</w:t>
      </w:r>
      <w:r>
        <w:rPr>
          <w:rFonts w:asciiTheme="minorHAnsi" w:hAnsiTheme="minorHAnsi"/>
          <w:sz w:val="24"/>
          <w:szCs w:val="24"/>
        </w:rPr>
        <w:t>estrzegający przepisów krajowego organu regulacyjneg</w:t>
      </w:r>
      <w:r w:rsidRPr="00C43387">
        <w:rPr>
          <w:rFonts w:asciiTheme="minorHAnsi" w:hAnsiTheme="minorHAnsi"/>
          <w:sz w:val="24"/>
          <w:szCs w:val="24"/>
        </w:rPr>
        <w:t>o</w:t>
      </w:r>
      <w:r w:rsidR="00C43387" w:rsidRPr="00C43387">
        <w:t xml:space="preserve"> </w:t>
      </w:r>
      <w:r w:rsidRPr="00C43387">
        <w:rPr>
          <w:rFonts w:asciiTheme="minorHAnsi" w:hAnsiTheme="minorHAnsi"/>
          <w:sz w:val="24"/>
          <w:szCs w:val="24"/>
        </w:rPr>
        <w:t>t</w:t>
      </w:r>
      <w:r>
        <w:rPr>
          <w:rFonts w:asciiTheme="minorHAnsi" w:hAnsiTheme="minorHAnsi"/>
          <w:sz w:val="24"/>
          <w:szCs w:val="24"/>
        </w:rPr>
        <w:t>ego państwa korzysta</w:t>
      </w:r>
      <w:r w:rsidR="00BE7466">
        <w:rPr>
          <w:rFonts w:asciiTheme="minorHAnsi" w:hAnsiTheme="minorHAnsi"/>
          <w:sz w:val="24"/>
          <w:szCs w:val="24"/>
        </w:rPr>
        <w:t xml:space="preserve"> z zas</w:t>
      </w:r>
      <w:r>
        <w:rPr>
          <w:rFonts w:asciiTheme="minorHAnsi" w:hAnsiTheme="minorHAnsi"/>
          <w:sz w:val="24"/>
          <w:szCs w:val="24"/>
        </w:rPr>
        <w:t>ady swobody odbioru</w:t>
      </w:r>
      <w:r w:rsidR="00BE7466">
        <w:rPr>
          <w:rFonts w:asciiTheme="minorHAnsi" w:hAnsiTheme="minorHAnsi"/>
          <w:sz w:val="24"/>
          <w:szCs w:val="24"/>
        </w:rPr>
        <w:t xml:space="preserve"> i moż</w:t>
      </w:r>
      <w:r>
        <w:rPr>
          <w:rFonts w:asciiTheme="minorHAnsi" w:hAnsiTheme="minorHAnsi"/>
          <w:sz w:val="24"/>
          <w:szCs w:val="24"/>
        </w:rPr>
        <w:t>e nadawać treści do każdego innego państwa członkowskiego bez konieczności ubiegania się</w:t>
      </w:r>
      <w:r w:rsidR="00BE7466">
        <w:rPr>
          <w:rFonts w:asciiTheme="minorHAnsi" w:hAnsiTheme="minorHAnsi"/>
          <w:sz w:val="24"/>
          <w:szCs w:val="24"/>
        </w:rPr>
        <w:t xml:space="preserve"> o zgo</w:t>
      </w:r>
      <w:r>
        <w:rPr>
          <w:rFonts w:asciiTheme="minorHAnsi" w:hAnsiTheme="minorHAnsi"/>
          <w:sz w:val="24"/>
          <w:szCs w:val="24"/>
        </w:rPr>
        <w:t>dę tego państwa członkowskiego.</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przedsiębiorstwa mające siedzibę</w:t>
      </w:r>
      <w:r w:rsidR="00BE7466">
        <w:rPr>
          <w:rFonts w:asciiTheme="minorHAnsi" w:hAnsiTheme="minorHAnsi"/>
          <w:sz w:val="24"/>
          <w:szCs w:val="24"/>
        </w:rPr>
        <w:t xml:space="preserve"> w Zje</w:t>
      </w:r>
      <w:r>
        <w:rPr>
          <w:rFonts w:asciiTheme="minorHAnsi" w:hAnsiTheme="minorHAnsi"/>
          <w:sz w:val="24"/>
          <w:szCs w:val="24"/>
        </w:rPr>
        <w:t>dnoczonym Królestwie nie będą już mogły korzystać</w:t>
      </w:r>
      <w:r w:rsidR="00BE7466">
        <w:rPr>
          <w:rFonts w:asciiTheme="minorHAnsi" w:hAnsiTheme="minorHAnsi"/>
          <w:sz w:val="24"/>
          <w:szCs w:val="24"/>
        </w:rPr>
        <w:t xml:space="preserve"> z zas</w:t>
      </w:r>
      <w:r>
        <w:rPr>
          <w:rFonts w:asciiTheme="minorHAnsi" w:hAnsiTheme="minorHAnsi"/>
          <w:sz w:val="24"/>
          <w:szCs w:val="24"/>
        </w:rPr>
        <w:t>ady kraju pochodzenia określonej</w:t>
      </w:r>
      <w:r w:rsidR="00BE7466">
        <w:rPr>
          <w:rFonts w:asciiTheme="minorHAnsi" w:hAnsiTheme="minorHAnsi"/>
          <w:sz w:val="24"/>
          <w:szCs w:val="24"/>
        </w:rPr>
        <w:t xml:space="preserve"> w dyr</w:t>
      </w:r>
      <w:r>
        <w:rPr>
          <w:rFonts w:asciiTheme="minorHAnsi" w:hAnsiTheme="minorHAnsi"/>
          <w:sz w:val="24"/>
          <w:szCs w:val="24"/>
        </w:rPr>
        <w:t>ektywie</w:t>
      </w:r>
      <w:r w:rsidR="00BE7466">
        <w:rPr>
          <w:rFonts w:asciiTheme="minorHAnsi" w:hAnsiTheme="minorHAnsi"/>
          <w:sz w:val="24"/>
          <w:szCs w:val="24"/>
        </w:rPr>
        <w:t xml:space="preserve"> o aud</w:t>
      </w:r>
      <w:r>
        <w:rPr>
          <w:rFonts w:asciiTheme="minorHAnsi" w:hAnsiTheme="minorHAnsi"/>
          <w:sz w:val="24"/>
          <w:szCs w:val="24"/>
        </w:rPr>
        <w:t xml:space="preserve">iowizualnych usługach medialnych. </w:t>
      </w:r>
    </w:p>
    <w:p w:rsidR="005B5E63" w:rsidRDefault="00B858F1">
      <w:pPr>
        <w:jc w:val="both"/>
        <w:rPr>
          <w:rFonts w:asciiTheme="minorHAnsi" w:hAnsiTheme="minorHAnsi" w:cstheme="minorHAnsi"/>
          <w:sz w:val="24"/>
          <w:szCs w:val="24"/>
        </w:rPr>
      </w:pPr>
      <w:r>
        <w:rPr>
          <w:rFonts w:asciiTheme="minorHAnsi" w:hAnsiTheme="minorHAnsi"/>
          <w:sz w:val="24"/>
          <w:szCs w:val="24"/>
        </w:rPr>
        <w:lastRenderedPageBreak/>
        <w:t>W związku</w:t>
      </w:r>
      <w:r w:rsidR="00BE7466">
        <w:rPr>
          <w:rFonts w:asciiTheme="minorHAnsi" w:hAnsiTheme="minorHAnsi"/>
          <w:sz w:val="24"/>
          <w:szCs w:val="24"/>
        </w:rPr>
        <w:t xml:space="preserve"> z tym</w:t>
      </w:r>
      <w:r>
        <w:rPr>
          <w:rFonts w:asciiTheme="minorHAnsi" w:hAnsiTheme="minorHAnsi"/>
          <w:sz w:val="24"/>
          <w:szCs w:val="24"/>
        </w:rPr>
        <w:t xml:space="preserve"> dostawcy audiowizualnych usług medialnych</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Zje</w:t>
      </w:r>
      <w:r>
        <w:rPr>
          <w:rFonts w:asciiTheme="minorHAnsi" w:hAnsiTheme="minorHAnsi"/>
          <w:sz w:val="24"/>
          <w:szCs w:val="24"/>
        </w:rPr>
        <w:t>dnoczonym Królestwie będą musieli stosować się do każdego</w:t>
      </w:r>
      <w:r w:rsidR="00BE7466">
        <w:rPr>
          <w:rFonts w:asciiTheme="minorHAnsi" w:hAnsiTheme="minorHAnsi"/>
          <w:sz w:val="24"/>
          <w:szCs w:val="24"/>
        </w:rPr>
        <w:t xml:space="preserve"> z prz</w:t>
      </w:r>
      <w:r>
        <w:rPr>
          <w:rFonts w:asciiTheme="minorHAnsi" w:hAnsiTheme="minorHAnsi"/>
          <w:sz w:val="24"/>
          <w:szCs w:val="24"/>
        </w:rPr>
        <w:t>episów państwa członkowskiego,</w:t>
      </w:r>
      <w:r w:rsidR="00BE7466">
        <w:rPr>
          <w:rFonts w:asciiTheme="minorHAnsi" w:hAnsiTheme="minorHAnsi"/>
          <w:sz w:val="24"/>
          <w:szCs w:val="24"/>
        </w:rPr>
        <w:t xml:space="preserve"> w któ</w:t>
      </w:r>
      <w:r>
        <w:rPr>
          <w:rFonts w:asciiTheme="minorHAnsi" w:hAnsiTheme="minorHAnsi"/>
          <w:sz w:val="24"/>
          <w:szCs w:val="24"/>
        </w:rPr>
        <w:t>rym chcieliby świadczyć swoje usługi.</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Pr="00C43387"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Dostawcy audiowizualnych usług medialnych mający siedzibę</w:t>
      </w:r>
      <w:r w:rsidR="00BE7466">
        <w:rPr>
          <w:rFonts w:asciiTheme="minorHAnsi" w:hAnsiTheme="minorHAnsi"/>
          <w:sz w:val="24"/>
          <w:szCs w:val="24"/>
        </w:rPr>
        <w:t xml:space="preserve"> w Zje</w:t>
      </w:r>
      <w:r>
        <w:rPr>
          <w:rFonts w:asciiTheme="minorHAnsi" w:hAnsiTheme="minorHAnsi"/>
          <w:sz w:val="24"/>
          <w:szCs w:val="24"/>
        </w:rPr>
        <w:t>dnoczonym Królestwie</w:t>
      </w:r>
      <w:r w:rsidR="00BE7466">
        <w:rPr>
          <w:rFonts w:asciiTheme="minorHAnsi" w:hAnsiTheme="minorHAnsi"/>
          <w:sz w:val="24"/>
          <w:szCs w:val="24"/>
        </w:rPr>
        <w:t xml:space="preserve"> i dos</w:t>
      </w:r>
      <w:r>
        <w:rPr>
          <w:rFonts w:asciiTheme="minorHAnsi" w:hAnsiTheme="minorHAnsi"/>
          <w:sz w:val="24"/>
          <w:szCs w:val="24"/>
        </w:rPr>
        <w:t>tarczający audiowizualne usługi medialne do Unii Europejskiej powinni zastosować niezbędne środki</w:t>
      </w:r>
      <w:r w:rsidR="00BE7466">
        <w:rPr>
          <w:rFonts w:asciiTheme="minorHAnsi" w:hAnsiTheme="minorHAnsi"/>
          <w:sz w:val="24"/>
          <w:szCs w:val="24"/>
        </w:rPr>
        <w:t xml:space="preserve"> w cel</w:t>
      </w:r>
      <w:r>
        <w:rPr>
          <w:rFonts w:asciiTheme="minorHAnsi" w:hAnsiTheme="minorHAnsi"/>
          <w:sz w:val="24"/>
          <w:szCs w:val="24"/>
        </w:rPr>
        <w:t>u zapewnienia zgodności</w:t>
      </w:r>
      <w:r w:rsidR="00BE7466">
        <w:rPr>
          <w:rFonts w:asciiTheme="minorHAnsi" w:hAnsiTheme="minorHAnsi"/>
          <w:sz w:val="24"/>
          <w:szCs w:val="24"/>
        </w:rPr>
        <w:t xml:space="preserve"> z każ</w:t>
      </w:r>
      <w:r>
        <w:rPr>
          <w:rFonts w:asciiTheme="minorHAnsi" w:hAnsiTheme="minorHAnsi"/>
          <w:sz w:val="24"/>
          <w:szCs w:val="24"/>
        </w:rPr>
        <w:t>dym</w:t>
      </w:r>
      <w:r w:rsidR="00BE7466">
        <w:rPr>
          <w:rFonts w:asciiTheme="minorHAnsi" w:hAnsiTheme="minorHAnsi"/>
          <w:sz w:val="24"/>
          <w:szCs w:val="24"/>
        </w:rPr>
        <w:t xml:space="preserve"> z sys</w:t>
      </w:r>
      <w:r>
        <w:rPr>
          <w:rFonts w:asciiTheme="minorHAnsi" w:hAnsiTheme="minorHAnsi"/>
          <w:sz w:val="24"/>
          <w:szCs w:val="24"/>
        </w:rPr>
        <w:t>temów krajowych,</w:t>
      </w:r>
      <w:r w:rsidR="00BE7466">
        <w:rPr>
          <w:rFonts w:asciiTheme="minorHAnsi" w:hAnsiTheme="minorHAnsi"/>
          <w:sz w:val="24"/>
          <w:szCs w:val="24"/>
        </w:rPr>
        <w:t xml:space="preserve"> w któ</w:t>
      </w:r>
      <w:r>
        <w:rPr>
          <w:rFonts w:asciiTheme="minorHAnsi" w:hAnsiTheme="minorHAnsi"/>
          <w:sz w:val="24"/>
          <w:szCs w:val="24"/>
        </w:rPr>
        <w:t>rych zamierzają świadczyć usługi. Unijni usługodawcy chcący świadczyć usługi</w:t>
      </w:r>
      <w:r w:rsidR="00BE7466">
        <w:rPr>
          <w:rFonts w:asciiTheme="minorHAnsi" w:hAnsiTheme="minorHAnsi"/>
          <w:sz w:val="24"/>
          <w:szCs w:val="24"/>
        </w:rPr>
        <w:t xml:space="preserve"> w Zje</w:t>
      </w:r>
      <w:r>
        <w:rPr>
          <w:rFonts w:asciiTheme="minorHAnsi" w:hAnsiTheme="minorHAnsi"/>
          <w:sz w:val="24"/>
          <w:szCs w:val="24"/>
        </w:rPr>
        <w:t>dnoczonym Królestwie będą musieli przestrzegać przepisów Zjednoczonego Królestwa</w:t>
      </w:r>
      <w:r w:rsidRPr="00C43387">
        <w:rPr>
          <w:rFonts w:asciiTheme="minorHAnsi" w:hAnsiTheme="minorHAnsi"/>
          <w:sz w:val="24"/>
          <w:szCs w:val="24"/>
        </w:rPr>
        <w:t>.</w:t>
      </w:r>
      <w:r w:rsidR="00C43387" w:rsidRPr="00C43387">
        <w:rPr>
          <w:rFonts w:asciiTheme="minorHAnsi" w:hAnsiTheme="minorHAnsi"/>
          <w:sz w:val="24"/>
          <w:szCs w:val="24"/>
        </w:rPr>
        <w:t xml:space="preserve"> </w:t>
      </w:r>
    </w:p>
    <w:p w:rsidR="005B5E63" w:rsidRDefault="00B858F1">
      <w:pPr>
        <w:pStyle w:val="Nagwek3"/>
      </w:pPr>
      <w:bookmarkStart w:id="12" w:name="_Toc46137005"/>
      <w:r>
        <w:t>B.4. Uznawanie kwalifikacji zawodowych</w:t>
      </w:r>
      <w:bookmarkEnd w:id="12"/>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UE,</w:t>
      </w:r>
      <w:r w:rsidR="00BE7466">
        <w:rPr>
          <w:rFonts w:asciiTheme="minorHAnsi" w:hAnsiTheme="minorHAnsi"/>
          <w:sz w:val="24"/>
          <w:szCs w:val="24"/>
        </w:rPr>
        <w:t xml:space="preserve"> w tym w zak</w:t>
      </w:r>
      <w:r>
        <w:rPr>
          <w:rFonts w:asciiTheme="minorHAnsi" w:hAnsiTheme="minorHAnsi"/>
          <w:sz w:val="24"/>
          <w:szCs w:val="24"/>
        </w:rPr>
        <w:t>resie swobody przedsiębiorczości, swobodnego przepływu osób</w:t>
      </w:r>
      <w:r w:rsidR="00BE7466">
        <w:rPr>
          <w:rFonts w:asciiTheme="minorHAnsi" w:hAnsiTheme="minorHAnsi"/>
          <w:sz w:val="24"/>
          <w:szCs w:val="24"/>
        </w:rPr>
        <w:t xml:space="preserve"> i swo</w:t>
      </w:r>
      <w:r>
        <w:rPr>
          <w:rFonts w:asciiTheme="minorHAnsi" w:hAnsiTheme="minorHAnsi"/>
          <w:sz w:val="24"/>
          <w:szCs w:val="24"/>
        </w:rPr>
        <w:t>bodnego świadczenia usług</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obecnie obywatele Zjednoczonego Królestwa i UE posiadający kwalifikacje</w:t>
      </w:r>
      <w:r w:rsidR="00BE7466">
        <w:rPr>
          <w:rFonts w:asciiTheme="minorHAnsi" w:hAnsiTheme="minorHAnsi"/>
          <w:sz w:val="24"/>
          <w:szCs w:val="24"/>
        </w:rPr>
        <w:t xml:space="preserve"> w Zje</w:t>
      </w:r>
      <w:r>
        <w:rPr>
          <w:rFonts w:asciiTheme="minorHAnsi" w:hAnsiTheme="minorHAnsi"/>
          <w:sz w:val="24"/>
          <w:szCs w:val="24"/>
        </w:rPr>
        <w:t>dnoczonym Królestwie korzystają</w:t>
      </w:r>
      <w:r w:rsidR="00BE7466">
        <w:rPr>
          <w:rFonts w:asciiTheme="minorHAnsi" w:hAnsiTheme="minorHAnsi"/>
          <w:sz w:val="24"/>
          <w:szCs w:val="24"/>
        </w:rPr>
        <w:t xml:space="preserve"> z upr</w:t>
      </w:r>
      <w:r>
        <w:rPr>
          <w:rFonts w:asciiTheme="minorHAnsi" w:hAnsiTheme="minorHAnsi"/>
          <w:sz w:val="24"/>
          <w:szCs w:val="24"/>
        </w:rPr>
        <w:t>oszczonego –</w:t>
      </w:r>
      <w:r w:rsidR="00BE7466">
        <w:rPr>
          <w:rFonts w:asciiTheme="minorHAnsi" w:hAnsiTheme="minorHAnsi"/>
          <w:sz w:val="24"/>
          <w:szCs w:val="24"/>
        </w:rPr>
        <w:t xml:space="preserve"> w nie</w:t>
      </w:r>
      <w:r>
        <w:rPr>
          <w:rFonts w:asciiTheme="minorHAnsi" w:hAnsiTheme="minorHAnsi"/>
          <w:sz w:val="24"/>
          <w:szCs w:val="24"/>
        </w:rPr>
        <w:t>których przypadkach automatycznego – systemu uznawania kwalifikacji</w:t>
      </w:r>
      <w:r w:rsidR="00BE7466">
        <w:rPr>
          <w:rFonts w:asciiTheme="minorHAnsi" w:hAnsiTheme="minorHAnsi"/>
          <w:sz w:val="24"/>
          <w:szCs w:val="24"/>
        </w:rPr>
        <w:t xml:space="preserve"> w inn</w:t>
      </w:r>
      <w:r>
        <w:rPr>
          <w:rFonts w:asciiTheme="minorHAnsi" w:hAnsiTheme="minorHAnsi"/>
          <w:sz w:val="24"/>
          <w:szCs w:val="24"/>
        </w:rPr>
        <w:t>ych państwach UE,</w:t>
      </w:r>
      <w:r w:rsidR="00BE7466">
        <w:rPr>
          <w:rFonts w:asciiTheme="minorHAnsi" w:hAnsiTheme="minorHAnsi"/>
          <w:sz w:val="24"/>
          <w:szCs w:val="24"/>
        </w:rPr>
        <w:t xml:space="preserve"> w ram</w:t>
      </w:r>
      <w:r>
        <w:rPr>
          <w:rFonts w:asciiTheme="minorHAnsi" w:hAnsiTheme="minorHAnsi"/>
          <w:sz w:val="24"/>
          <w:szCs w:val="24"/>
        </w:rPr>
        <w:t>ach którego umożliwia się przedstawicielom takich zawodów jak lekarze, pielęgniarki, lekarze dentyści, farmaceuci, lekarze weterynarii, prawnicy, architekci lub inżynierowie przemieszczanie się</w:t>
      </w:r>
      <w:r w:rsidR="00BE7466">
        <w:rPr>
          <w:rFonts w:asciiTheme="minorHAnsi" w:hAnsiTheme="minorHAnsi"/>
          <w:sz w:val="24"/>
          <w:szCs w:val="24"/>
        </w:rPr>
        <w:t xml:space="preserve"> i świ</w:t>
      </w:r>
      <w:r>
        <w:rPr>
          <w:rFonts w:asciiTheme="minorHAnsi" w:hAnsiTheme="minorHAnsi"/>
          <w:sz w:val="24"/>
          <w:szCs w:val="24"/>
        </w:rPr>
        <w:t>adczenie usług</w:t>
      </w:r>
      <w:r w:rsidR="00BE7466">
        <w:rPr>
          <w:rFonts w:asciiTheme="minorHAnsi" w:hAnsiTheme="minorHAnsi"/>
          <w:sz w:val="24"/>
          <w:szCs w:val="24"/>
        </w:rPr>
        <w:t xml:space="preserve"> w cał</w:t>
      </w:r>
      <w:r>
        <w:rPr>
          <w:rFonts w:asciiTheme="minorHAnsi" w:hAnsiTheme="minorHAnsi"/>
          <w:sz w:val="24"/>
          <w:szCs w:val="24"/>
        </w:rPr>
        <w:t>ej Unii Europejskiej</w:t>
      </w:r>
      <w:r w:rsidR="00BE7466">
        <w:rPr>
          <w:rFonts w:asciiTheme="minorHAnsi" w:hAnsiTheme="minorHAnsi"/>
          <w:sz w:val="24"/>
          <w:szCs w:val="24"/>
        </w:rPr>
        <w:t xml:space="preserve"> i w Zje</w:t>
      </w:r>
      <w:r>
        <w:rPr>
          <w:rFonts w:asciiTheme="minorHAnsi" w:hAnsiTheme="minorHAnsi"/>
          <w:sz w:val="24"/>
          <w:szCs w:val="24"/>
        </w:rPr>
        <w:t>dnoczonym Królestwie</w:t>
      </w:r>
      <w:r w:rsidR="00BE7466">
        <w:rPr>
          <w:rFonts w:asciiTheme="minorHAnsi" w:hAnsiTheme="minorHAnsi"/>
          <w:sz w:val="24"/>
          <w:szCs w:val="24"/>
        </w:rPr>
        <w:t xml:space="preserve"> w cał</w:t>
      </w:r>
      <w:r>
        <w:rPr>
          <w:rFonts w:asciiTheme="minorHAnsi" w:hAnsiTheme="minorHAnsi"/>
          <w:sz w:val="24"/>
          <w:szCs w:val="24"/>
        </w:rPr>
        <w:t>ym okresie przejściowym.</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Zjednoczone Królestwo nie będzie już objęte przepisami unijnymi</w:t>
      </w:r>
      <w:r w:rsidR="00BE7466">
        <w:rPr>
          <w:rFonts w:asciiTheme="minorHAnsi" w:hAnsiTheme="minorHAnsi"/>
          <w:sz w:val="24"/>
          <w:szCs w:val="24"/>
        </w:rPr>
        <w:t xml:space="preserve"> w zak</w:t>
      </w:r>
      <w:r>
        <w:rPr>
          <w:rFonts w:asciiTheme="minorHAnsi" w:hAnsiTheme="minorHAnsi"/>
          <w:sz w:val="24"/>
          <w:szCs w:val="24"/>
        </w:rPr>
        <w:t>resie uznawania kwalifikacji zawodowych,</w:t>
      </w:r>
      <w:r w:rsidR="00BE7466">
        <w:rPr>
          <w:rFonts w:asciiTheme="minorHAnsi" w:hAnsiTheme="minorHAnsi"/>
          <w:sz w:val="24"/>
          <w:szCs w:val="24"/>
        </w:rPr>
        <w:t xml:space="preserve"> a uzn</w:t>
      </w:r>
      <w:r>
        <w:rPr>
          <w:rFonts w:asciiTheme="minorHAnsi" w:hAnsiTheme="minorHAnsi"/>
          <w:sz w:val="24"/>
          <w:szCs w:val="24"/>
        </w:rPr>
        <w:t>awanie kwalifikacji uzyskanych</w:t>
      </w:r>
      <w:r w:rsidR="00BE7466">
        <w:rPr>
          <w:rFonts w:asciiTheme="minorHAnsi" w:hAnsiTheme="minorHAnsi"/>
          <w:sz w:val="24"/>
          <w:szCs w:val="24"/>
        </w:rPr>
        <w:t xml:space="preserve"> w pań</w:t>
      </w:r>
      <w:r>
        <w:rPr>
          <w:rFonts w:asciiTheme="minorHAnsi" w:hAnsiTheme="minorHAnsi"/>
          <w:sz w:val="24"/>
          <w:szCs w:val="24"/>
        </w:rPr>
        <w:t>stwach członkowskich UE przez Zjednoczone Królestwo będzie podlegać prawu Zjednoczonego Królestwa.</w:t>
      </w:r>
    </w:p>
    <w:p w:rsidR="005B5E63" w:rsidRDefault="00B858F1">
      <w:pPr>
        <w:jc w:val="both"/>
        <w:rPr>
          <w:rFonts w:asciiTheme="minorHAnsi" w:hAnsiTheme="minorHAnsi" w:cstheme="minorHAnsi"/>
          <w:sz w:val="24"/>
          <w:szCs w:val="24"/>
        </w:rPr>
      </w:pPr>
      <w:r>
        <w:rPr>
          <w:rFonts w:asciiTheme="minorHAnsi" w:hAnsiTheme="minorHAnsi"/>
          <w:sz w:val="24"/>
          <w:szCs w:val="24"/>
        </w:rPr>
        <w:t>Obywatele Zjednoczonego Królestwa, niezależnie od tego, gdzie nabyli swoje kwalifikacje, oraz obywatele UE posiadający kwalifikacje nabyte</w:t>
      </w:r>
      <w:r w:rsidR="00BE7466">
        <w:rPr>
          <w:rFonts w:asciiTheme="minorHAnsi" w:hAnsiTheme="minorHAnsi"/>
          <w:sz w:val="24"/>
          <w:szCs w:val="24"/>
        </w:rPr>
        <w:t xml:space="preserve"> w Zje</w:t>
      </w:r>
      <w:r>
        <w:rPr>
          <w:rFonts w:asciiTheme="minorHAnsi" w:hAnsiTheme="minorHAnsi"/>
          <w:sz w:val="24"/>
          <w:szCs w:val="24"/>
        </w:rPr>
        <w:t>dnoczonym Królestwie po zakończeniu okresu przejściowego będą musieli postarać się</w:t>
      </w:r>
      <w:r w:rsidR="00BE7466">
        <w:rPr>
          <w:rFonts w:asciiTheme="minorHAnsi" w:hAnsiTheme="minorHAnsi"/>
          <w:sz w:val="24"/>
          <w:szCs w:val="24"/>
        </w:rPr>
        <w:t xml:space="preserve"> o ich</w:t>
      </w:r>
      <w:r>
        <w:rPr>
          <w:rFonts w:asciiTheme="minorHAnsi" w:hAnsiTheme="minorHAnsi"/>
          <w:sz w:val="24"/>
          <w:szCs w:val="24"/>
        </w:rPr>
        <w:t xml:space="preserve"> uznanie</w:t>
      </w:r>
      <w:r w:rsidR="00BE7466">
        <w:rPr>
          <w:rFonts w:asciiTheme="minorHAnsi" w:hAnsiTheme="minorHAnsi"/>
          <w:sz w:val="24"/>
          <w:szCs w:val="24"/>
        </w:rPr>
        <w:t xml:space="preserve"> w dan</w:t>
      </w:r>
      <w:r>
        <w:rPr>
          <w:rFonts w:asciiTheme="minorHAnsi" w:hAnsiTheme="minorHAnsi"/>
          <w:sz w:val="24"/>
          <w:szCs w:val="24"/>
        </w:rPr>
        <w:t>ym państwie członkowskim na podstawie przepisów tego państwa dotyczących obywateli państw trzecich lub kwalifikacji nabytych</w:t>
      </w:r>
      <w:r w:rsidR="00BE7466">
        <w:rPr>
          <w:rFonts w:asciiTheme="minorHAnsi" w:hAnsiTheme="minorHAnsi"/>
          <w:sz w:val="24"/>
          <w:szCs w:val="24"/>
        </w:rPr>
        <w:t xml:space="preserve"> w pań</w:t>
      </w:r>
      <w:r>
        <w:rPr>
          <w:rFonts w:asciiTheme="minorHAnsi" w:hAnsiTheme="minorHAnsi"/>
          <w:sz w:val="24"/>
          <w:szCs w:val="24"/>
        </w:rPr>
        <w:t>stwach trzecich</w:t>
      </w:r>
      <w:r>
        <w:rPr>
          <w:rStyle w:val="Odwoanieprzypisudolnego"/>
          <w:rFonts w:asciiTheme="minorHAnsi" w:hAnsiTheme="minorHAnsi" w:cstheme="minorHAnsi"/>
          <w:sz w:val="24"/>
          <w:szCs w:val="24"/>
        </w:rPr>
        <w:footnoteReference w:id="23"/>
      </w:r>
      <w:r>
        <w:rPr>
          <w:rFonts w:asciiTheme="minorHAnsi" w:hAnsiTheme="minorHAnsi"/>
          <w:sz w:val="24"/>
          <w:szCs w:val="24"/>
        </w:rPr>
        <w:t>.</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osób fizycznych,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sz w:val="24"/>
          <w:szCs w:val="24"/>
        </w:rPr>
        <w:t>Zainteresowane osoby powinny starać się</w:t>
      </w:r>
      <w:r w:rsidR="00BE7466">
        <w:rPr>
          <w:rFonts w:asciiTheme="minorHAnsi" w:hAnsiTheme="minorHAnsi"/>
          <w:sz w:val="24"/>
          <w:szCs w:val="24"/>
        </w:rPr>
        <w:t xml:space="preserve"> o uzn</w:t>
      </w:r>
      <w:r>
        <w:rPr>
          <w:rFonts w:asciiTheme="minorHAnsi" w:hAnsiTheme="minorHAnsi"/>
          <w:sz w:val="24"/>
          <w:szCs w:val="24"/>
        </w:rPr>
        <w:t>anie</w:t>
      </w:r>
      <w:r w:rsidR="00BE7466">
        <w:rPr>
          <w:rFonts w:asciiTheme="minorHAnsi" w:hAnsiTheme="minorHAnsi"/>
          <w:sz w:val="24"/>
          <w:szCs w:val="24"/>
        </w:rPr>
        <w:t xml:space="preserve"> w Uni</w:t>
      </w:r>
      <w:r>
        <w:rPr>
          <w:rFonts w:asciiTheme="minorHAnsi" w:hAnsiTheme="minorHAnsi"/>
          <w:sz w:val="24"/>
          <w:szCs w:val="24"/>
        </w:rPr>
        <w:t>i Europejskiej swoich kwalifikacji nabytych</w:t>
      </w:r>
      <w:r w:rsidR="00BE7466">
        <w:rPr>
          <w:rFonts w:asciiTheme="minorHAnsi" w:hAnsiTheme="minorHAnsi"/>
          <w:sz w:val="24"/>
          <w:szCs w:val="24"/>
        </w:rPr>
        <w:t xml:space="preserve"> w Zje</w:t>
      </w:r>
      <w:r>
        <w:rPr>
          <w:rFonts w:asciiTheme="minorHAnsi" w:hAnsiTheme="minorHAnsi"/>
          <w:sz w:val="24"/>
          <w:szCs w:val="24"/>
        </w:rPr>
        <w:t>dnoczonym Królestwie przed dniem 1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aby przygotować się na zakończenie okresu przejściowego</w:t>
      </w:r>
      <w:r w:rsidR="00BE7466">
        <w:rPr>
          <w:rFonts w:asciiTheme="minorHAnsi" w:hAnsiTheme="minorHAnsi"/>
          <w:sz w:val="24"/>
          <w:szCs w:val="24"/>
        </w:rPr>
        <w:t>. W swo</w:t>
      </w:r>
      <w:r>
        <w:rPr>
          <w:rFonts w:asciiTheme="minorHAnsi" w:hAnsiTheme="minorHAnsi"/>
          <w:sz w:val="24"/>
          <w:szCs w:val="24"/>
        </w:rPr>
        <w:t>ich decyzjach przedsiębiorstwa powinny uwzględniać fakt, że od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po zakończeniu okresu przejściowego, takie uznanie </w:t>
      </w:r>
      <w:r>
        <w:rPr>
          <w:rFonts w:asciiTheme="minorHAnsi" w:hAnsiTheme="minorHAnsi"/>
          <w:sz w:val="24"/>
          <w:szCs w:val="24"/>
        </w:rPr>
        <w:lastRenderedPageBreak/>
        <w:t>będzie miało miejsce</w:t>
      </w:r>
      <w:r w:rsidR="00BE7466">
        <w:rPr>
          <w:rFonts w:asciiTheme="minorHAnsi" w:hAnsiTheme="minorHAnsi"/>
          <w:sz w:val="24"/>
          <w:szCs w:val="24"/>
        </w:rPr>
        <w:t xml:space="preserve"> w dan</w:t>
      </w:r>
      <w:r>
        <w:rPr>
          <w:rFonts w:asciiTheme="minorHAnsi" w:hAnsiTheme="minorHAnsi"/>
          <w:sz w:val="24"/>
          <w:szCs w:val="24"/>
        </w:rPr>
        <w:t>ym państwie członkowskim na podstawie przepisów tego państwa dotyczących obywateli państw trzecich lub kwalifikacji nabytych</w:t>
      </w:r>
      <w:r w:rsidR="00BE7466">
        <w:rPr>
          <w:rFonts w:asciiTheme="minorHAnsi" w:hAnsiTheme="minorHAnsi"/>
          <w:sz w:val="24"/>
          <w:szCs w:val="24"/>
        </w:rPr>
        <w:t xml:space="preserve"> w pań</w:t>
      </w:r>
      <w:r>
        <w:rPr>
          <w:rFonts w:asciiTheme="minorHAnsi" w:hAnsiTheme="minorHAnsi"/>
          <w:sz w:val="24"/>
          <w:szCs w:val="24"/>
        </w:rPr>
        <w:t>stwach trzecich.</w:t>
      </w:r>
    </w:p>
    <w:p w:rsidR="005B5E63" w:rsidRDefault="00B858F1">
      <w:pPr>
        <w:pStyle w:val="Nagwek2"/>
        <w:rPr>
          <w:rFonts w:cstheme="minorHAnsi"/>
        </w:rPr>
      </w:pPr>
      <w:bookmarkStart w:id="13" w:name="_Toc35520660"/>
      <w:bookmarkStart w:id="14" w:name="_Toc35520693"/>
      <w:bookmarkStart w:id="15" w:name="_Toc35520661"/>
      <w:bookmarkStart w:id="16" w:name="_Toc35520694"/>
      <w:bookmarkStart w:id="17" w:name="_Toc35520662"/>
      <w:bookmarkStart w:id="18" w:name="_Toc35520695"/>
      <w:bookmarkStart w:id="19" w:name="_Toc35520663"/>
      <w:bookmarkStart w:id="20" w:name="_Toc35520696"/>
      <w:bookmarkStart w:id="21" w:name="_Toc35520664"/>
      <w:bookmarkStart w:id="22" w:name="_Toc35520697"/>
      <w:bookmarkStart w:id="23" w:name="_Toc46137006"/>
      <w:bookmarkEnd w:id="13"/>
      <w:bookmarkEnd w:id="14"/>
      <w:bookmarkEnd w:id="15"/>
      <w:bookmarkEnd w:id="16"/>
      <w:bookmarkEnd w:id="17"/>
      <w:bookmarkEnd w:id="18"/>
      <w:bookmarkEnd w:id="19"/>
      <w:bookmarkEnd w:id="20"/>
      <w:bookmarkEnd w:id="21"/>
      <w:bookmarkEnd w:id="22"/>
      <w:r>
        <w:t>Energia</w:t>
      </w:r>
      <w:bookmarkEnd w:id="23"/>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zin</w:t>
      </w:r>
      <w:r>
        <w:rPr>
          <w:rFonts w:asciiTheme="minorHAnsi" w:hAnsiTheme="minorHAnsi"/>
          <w:sz w:val="24"/>
          <w:szCs w:val="24"/>
        </w:rPr>
        <w:t>tegrowanym unijnym rynku energii. Dlatego też handel produktami energetycznymi między UE</w:t>
      </w:r>
      <w:r w:rsidR="00BE7466">
        <w:rPr>
          <w:rFonts w:asciiTheme="minorHAnsi" w:hAnsiTheme="minorHAnsi"/>
          <w:sz w:val="24"/>
          <w:szCs w:val="24"/>
        </w:rPr>
        <w:t xml:space="preserve"> i Zje</w:t>
      </w:r>
      <w:r>
        <w:rPr>
          <w:rFonts w:asciiTheme="minorHAnsi" w:hAnsiTheme="minorHAnsi"/>
          <w:sz w:val="24"/>
          <w:szCs w:val="24"/>
        </w:rPr>
        <w:t>dnoczonym Królestwem za pośrednictwem elektroenergetycznych</w:t>
      </w:r>
      <w:r w:rsidR="00BE7466">
        <w:rPr>
          <w:rFonts w:asciiTheme="minorHAnsi" w:hAnsiTheme="minorHAnsi"/>
          <w:sz w:val="24"/>
          <w:szCs w:val="24"/>
        </w:rPr>
        <w:t xml:space="preserve"> i gaz</w:t>
      </w:r>
      <w:r>
        <w:rPr>
          <w:rFonts w:asciiTheme="minorHAnsi" w:hAnsiTheme="minorHAnsi"/>
          <w:sz w:val="24"/>
          <w:szCs w:val="24"/>
        </w:rPr>
        <w:t>owych połączeń wzajemnych jest obecnie zarządzany za pośrednictwem specjalnych platform unijnych.</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chociaż elektroenergetyczne</w:t>
      </w:r>
      <w:r w:rsidR="00BE7466">
        <w:rPr>
          <w:rFonts w:asciiTheme="minorHAnsi" w:hAnsiTheme="minorHAnsi"/>
          <w:sz w:val="24"/>
          <w:szCs w:val="24"/>
        </w:rPr>
        <w:t xml:space="preserve"> i gaz</w:t>
      </w:r>
      <w:r>
        <w:rPr>
          <w:rFonts w:asciiTheme="minorHAnsi" w:hAnsiTheme="minorHAnsi"/>
          <w:sz w:val="24"/>
          <w:szCs w:val="24"/>
        </w:rPr>
        <w:t>owe połączenia wzajemne będą oczywiście mogły być nadal wykorzystywane, Zjednoczone Królestwo nie będzie już uczestniczyć</w:t>
      </w:r>
      <w:r w:rsidR="00BE7466">
        <w:rPr>
          <w:rFonts w:asciiTheme="minorHAnsi" w:hAnsiTheme="minorHAnsi"/>
          <w:sz w:val="24"/>
          <w:szCs w:val="24"/>
        </w:rPr>
        <w:t xml:space="preserve"> w spe</w:t>
      </w:r>
      <w:r>
        <w:rPr>
          <w:rFonts w:asciiTheme="minorHAnsi" w:hAnsiTheme="minorHAnsi"/>
          <w:sz w:val="24"/>
          <w:szCs w:val="24"/>
        </w:rPr>
        <w:t>cjalnych platformach Unii. Alternatywne rozwiązania rezerwowe zostaną zamiast tego wykorzystane do handlu energią elektryczną na połączeniach wzajemnych ze Zjednoczonym Królestwem</w:t>
      </w:r>
      <w:r>
        <w:rPr>
          <w:rStyle w:val="Odwoanieprzypisudolnego"/>
          <w:rFonts w:asciiTheme="minorHAnsi" w:hAnsiTheme="minorHAnsi" w:cstheme="minorHAnsi"/>
          <w:sz w:val="24"/>
          <w:szCs w:val="24"/>
        </w:rPr>
        <w:footnoteReference w:id="24"/>
      </w:r>
      <w:r>
        <w:rPr>
          <w:rFonts w:asciiTheme="minorHAnsi" w:hAnsiTheme="minorHAnsi"/>
          <w:sz w:val="24"/>
          <w:szCs w:val="24"/>
        </w:rPr>
        <w:t>. Powinny one umożliwić kontynuację handlu energią elektryczną, chociaż nie na takim samym poziomie efektywności jak ma to miejsce obecnie</w:t>
      </w:r>
      <w:r w:rsidR="00BE7466">
        <w:rPr>
          <w:rFonts w:asciiTheme="minorHAnsi" w:hAnsiTheme="minorHAnsi"/>
          <w:sz w:val="24"/>
          <w:szCs w:val="24"/>
        </w:rPr>
        <w:t xml:space="preserve"> w ram</w:t>
      </w:r>
      <w:r>
        <w:rPr>
          <w:rFonts w:asciiTheme="minorHAnsi" w:hAnsiTheme="minorHAnsi"/>
          <w:sz w:val="24"/>
          <w:szCs w:val="24"/>
        </w:rPr>
        <w:t>ach jednolitego rynku.</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w:t>
      </w:r>
      <w:r w:rsidR="00BE7466">
        <w:rPr>
          <w:rFonts w:asciiTheme="minorHAnsi" w:hAnsiTheme="minorHAnsi"/>
          <w:sz w:val="24"/>
          <w:szCs w:val="24"/>
        </w:rPr>
        <w:t xml:space="preserve"> i adm</w:t>
      </w:r>
      <w:r>
        <w:rPr>
          <w:rFonts w:asciiTheme="minorHAnsi" w:hAnsiTheme="minorHAnsi"/>
          <w:sz w:val="24"/>
          <w:szCs w:val="24"/>
        </w:rPr>
        <w:t>inistracje państw członkowskich powinny wziąć pod uwagę, że od stycznia 20</w:t>
      </w:r>
      <w:r w:rsidRPr="00C43387">
        <w:rPr>
          <w:rFonts w:asciiTheme="minorHAnsi" w:hAnsiTheme="minorHAnsi"/>
          <w:sz w:val="24"/>
          <w:szCs w:val="24"/>
        </w:rPr>
        <w:t>21</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handel ze Zjednoczonym Królestwem za pośrednictwem elektroenergetycznych połączeń wzajemnych nie będzie zarządzany za pośrednictwem platform unijnych</w:t>
      </w:r>
      <w:r w:rsidR="00BE7466">
        <w:rPr>
          <w:rFonts w:asciiTheme="minorHAnsi" w:hAnsiTheme="minorHAnsi"/>
          <w:sz w:val="24"/>
          <w:szCs w:val="24"/>
        </w:rPr>
        <w:t xml:space="preserve"> i sta</w:t>
      </w:r>
      <w:r>
        <w:rPr>
          <w:rFonts w:asciiTheme="minorHAnsi" w:hAnsiTheme="minorHAnsi"/>
          <w:sz w:val="24"/>
          <w:szCs w:val="24"/>
        </w:rPr>
        <w:t>nie się częścią przepływów energii</w:t>
      </w:r>
      <w:r w:rsidR="00BE7466">
        <w:rPr>
          <w:rFonts w:asciiTheme="minorHAnsi" w:hAnsiTheme="minorHAnsi"/>
          <w:sz w:val="24"/>
          <w:szCs w:val="24"/>
        </w:rPr>
        <w:t xml:space="preserve"> z pań</w:t>
      </w:r>
      <w:r>
        <w:rPr>
          <w:rFonts w:asciiTheme="minorHAnsi" w:hAnsiTheme="minorHAnsi"/>
          <w:sz w:val="24"/>
          <w:szCs w:val="24"/>
        </w:rPr>
        <w:t>stw trzecich. Zainteresowane strony powinny rozważyć wprowadzenie niezbędnych środków</w:t>
      </w:r>
      <w:r w:rsidR="00BE7466">
        <w:rPr>
          <w:rFonts w:asciiTheme="minorHAnsi" w:hAnsiTheme="minorHAnsi"/>
          <w:sz w:val="24"/>
          <w:szCs w:val="24"/>
        </w:rPr>
        <w:t xml:space="preserve"> w cel</w:t>
      </w:r>
      <w:r>
        <w:rPr>
          <w:rFonts w:asciiTheme="minorHAnsi" w:hAnsiTheme="minorHAnsi"/>
          <w:sz w:val="24"/>
          <w:szCs w:val="24"/>
        </w:rPr>
        <w:t>u dostosowania się do nowego otoczenia regulacyjnego.</w:t>
      </w:r>
    </w:p>
    <w:p w:rsidR="005B5E63" w:rsidRDefault="00B858F1">
      <w:pPr>
        <w:pStyle w:val="Nagwek2"/>
        <w:rPr>
          <w:rFonts w:cstheme="minorHAnsi"/>
        </w:rPr>
      </w:pPr>
      <w:bookmarkStart w:id="24" w:name="_Toc46137007"/>
      <w:r>
        <w:t>Podróże</w:t>
      </w:r>
      <w:r w:rsidR="00BE7466">
        <w:t xml:space="preserve"> i tur</w:t>
      </w:r>
      <w:r>
        <w:t>ystyka</w:t>
      </w:r>
      <w:bookmarkEnd w:id="24"/>
    </w:p>
    <w:p w:rsidR="005B5E63" w:rsidRPr="006D5231" w:rsidRDefault="00B858F1" w:rsidP="006D5231">
      <w:pPr>
        <w:pStyle w:val="Nagwek3"/>
        <w:spacing w:before="240"/>
        <w:rPr>
          <w:b w:val="0"/>
          <w:i/>
        </w:rPr>
      </w:pPr>
      <w:bookmarkStart w:id="25" w:name="_Toc46137008"/>
      <w:r w:rsidRPr="006D5231">
        <w:rPr>
          <w:b w:val="0"/>
          <w:i/>
        </w:rPr>
        <w:t>Kontrole osób</w:t>
      </w:r>
      <w:r w:rsidRPr="006D5231">
        <w:rPr>
          <w:rStyle w:val="Odwoanieprzypisudolnego"/>
          <w:b w:val="0"/>
        </w:rPr>
        <w:footnoteReference w:id="25"/>
      </w:r>
      <w:bookmarkEnd w:id="25"/>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obywatele Zjednoczonego Królestwa są traktowani jak obywatele Unii</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obywatele Zjednoczonego Królestwa korzystają obecnie ze swobody przemieszczania się przy wjeździe do Unii Europejskiej</w:t>
      </w:r>
      <w:r w:rsidR="00BE7466">
        <w:rPr>
          <w:rFonts w:asciiTheme="minorHAnsi" w:hAnsiTheme="minorHAnsi"/>
          <w:sz w:val="24"/>
          <w:szCs w:val="24"/>
        </w:rPr>
        <w:t xml:space="preserve"> i str</w:t>
      </w:r>
      <w:r>
        <w:rPr>
          <w:rFonts w:asciiTheme="minorHAnsi" w:hAnsiTheme="minorHAnsi"/>
          <w:sz w:val="24"/>
          <w:szCs w:val="24"/>
        </w:rPr>
        <w:t>efy Schengen.</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obywatele Zjednoczonego Królestwa podróżujący do Unii Europejskiej</w:t>
      </w:r>
      <w:r w:rsidR="00BE7466">
        <w:rPr>
          <w:rFonts w:asciiTheme="minorHAnsi" w:hAnsiTheme="minorHAnsi"/>
          <w:sz w:val="24"/>
          <w:szCs w:val="24"/>
        </w:rPr>
        <w:t xml:space="preserve"> i str</w:t>
      </w:r>
      <w:r>
        <w:rPr>
          <w:rFonts w:asciiTheme="minorHAnsi" w:hAnsiTheme="minorHAnsi"/>
          <w:sz w:val="24"/>
          <w:szCs w:val="24"/>
        </w:rPr>
        <w:t>efy Schengen będą traktowani jak obywatele państw trzecich,</w:t>
      </w:r>
      <w:r w:rsidR="00BE7466">
        <w:rPr>
          <w:rFonts w:asciiTheme="minorHAnsi" w:hAnsiTheme="minorHAnsi"/>
          <w:sz w:val="24"/>
          <w:szCs w:val="24"/>
        </w:rPr>
        <w:t xml:space="preserve"> a zat</w:t>
      </w:r>
      <w:r>
        <w:rPr>
          <w:rFonts w:asciiTheme="minorHAnsi" w:hAnsiTheme="minorHAnsi"/>
          <w:sz w:val="24"/>
          <w:szCs w:val="24"/>
        </w:rPr>
        <w:t xml:space="preserve">em będą </w:t>
      </w:r>
      <w:r>
        <w:rPr>
          <w:rFonts w:asciiTheme="minorHAnsi" w:hAnsiTheme="minorHAnsi"/>
          <w:sz w:val="24"/>
          <w:szCs w:val="24"/>
        </w:rPr>
        <w:lastRenderedPageBreak/>
        <w:t>podlegać szczegółowej kontroli na granicy strefy Schengen.</w:t>
      </w:r>
      <w:r>
        <w:t xml:space="preserve"> </w:t>
      </w:r>
      <w:r>
        <w:rPr>
          <w:rFonts w:asciiTheme="minorHAnsi" w:hAnsiTheme="minorHAnsi"/>
          <w:sz w:val="24"/>
          <w:szCs w:val="24"/>
        </w:rPr>
        <w:t>Oznacza to, że planowane pobyty na terytorium państw członkowskich UE nie mogą trwać dłużej niż 90 dni</w:t>
      </w:r>
      <w:r w:rsidR="00BE7466">
        <w:rPr>
          <w:rFonts w:asciiTheme="minorHAnsi" w:hAnsiTheme="minorHAnsi"/>
          <w:sz w:val="24"/>
          <w:szCs w:val="24"/>
        </w:rPr>
        <w:t xml:space="preserve"> w dow</w:t>
      </w:r>
      <w:r>
        <w:rPr>
          <w:rFonts w:asciiTheme="minorHAnsi" w:hAnsiTheme="minorHAnsi"/>
          <w:sz w:val="24"/>
          <w:szCs w:val="24"/>
        </w:rPr>
        <w:t>olnym 180-dniowym okresie,</w:t>
      </w:r>
      <w:r w:rsidR="00BE7466">
        <w:rPr>
          <w:rFonts w:asciiTheme="minorHAnsi" w:hAnsiTheme="minorHAnsi"/>
          <w:sz w:val="24"/>
          <w:szCs w:val="24"/>
        </w:rPr>
        <w:t xml:space="preserve"> a oby</w:t>
      </w:r>
      <w:r>
        <w:rPr>
          <w:rFonts w:asciiTheme="minorHAnsi" w:hAnsiTheme="minorHAnsi"/>
          <w:sz w:val="24"/>
          <w:szCs w:val="24"/>
        </w:rPr>
        <w:t>watele Zjednoczonego Królestwa będą musieli spełniać warunki wjazdu obowiązujące obywateli państw trzecich. Nie mogą również dłużej korzystać</w:t>
      </w:r>
      <w:r w:rsidR="00BE7466">
        <w:rPr>
          <w:rFonts w:asciiTheme="minorHAnsi" w:hAnsiTheme="minorHAnsi"/>
          <w:sz w:val="24"/>
          <w:szCs w:val="24"/>
        </w:rPr>
        <w:t xml:space="preserve"> z pas</w:t>
      </w:r>
      <w:r>
        <w:rPr>
          <w:rFonts w:asciiTheme="minorHAnsi" w:hAnsiTheme="minorHAnsi"/>
          <w:sz w:val="24"/>
          <w:szCs w:val="24"/>
        </w:rPr>
        <w:t>ów ruchu UE/EOG/CH zastrzeżonych dla osób korzystających</w:t>
      </w:r>
      <w:r w:rsidR="00BE7466">
        <w:rPr>
          <w:rFonts w:asciiTheme="minorHAnsi" w:hAnsiTheme="minorHAnsi"/>
          <w:sz w:val="24"/>
          <w:szCs w:val="24"/>
        </w:rPr>
        <w:t xml:space="preserve"> z pra</w:t>
      </w:r>
      <w:r>
        <w:rPr>
          <w:rFonts w:asciiTheme="minorHAnsi" w:hAnsiTheme="minorHAnsi"/>
          <w:sz w:val="24"/>
          <w:szCs w:val="24"/>
        </w:rPr>
        <w:t xml:space="preserve">wa do swobodnego przemieszczania się przy przekraczaniu granicy. </w:t>
      </w:r>
    </w:p>
    <w:p w:rsidR="005B5E63" w:rsidRPr="006D5231" w:rsidRDefault="00B858F1" w:rsidP="006D5231">
      <w:pPr>
        <w:pStyle w:val="Nagwek3"/>
        <w:spacing w:before="240"/>
        <w:rPr>
          <w:b w:val="0"/>
          <w:i/>
        </w:rPr>
      </w:pPr>
      <w:bookmarkStart w:id="26" w:name="_Toc46137009"/>
      <w:r w:rsidRPr="006D5231">
        <w:rPr>
          <w:b w:val="0"/>
          <w:i/>
        </w:rPr>
        <w:t>Obowiązki wizowe</w:t>
      </w:r>
      <w:bookmarkEnd w:id="26"/>
    </w:p>
    <w:p w:rsidR="005B5E63" w:rsidRDefault="00B858F1">
      <w:pPr>
        <w:pStyle w:val="Tekstprzypisudolnego"/>
        <w:spacing w:after="200"/>
        <w:jc w:val="both"/>
        <w:rPr>
          <w:sz w:val="18"/>
          <w:szCs w:val="18"/>
        </w:rPr>
      </w:pPr>
      <w:r>
        <w:rPr>
          <w:rFonts w:asciiTheme="minorHAnsi" w:hAnsiTheme="minorHAnsi"/>
          <w:sz w:val="24"/>
        </w:rPr>
        <w:t>W okresie przejściowym obywatele Zjednoczonego Królestwa są traktowani jak obywatele Unii</w:t>
      </w:r>
      <w:r w:rsidR="00BE7466">
        <w:rPr>
          <w:rFonts w:asciiTheme="minorHAnsi" w:hAnsiTheme="minorHAnsi"/>
          <w:sz w:val="24"/>
        </w:rPr>
        <w:t>. W zwi</w:t>
      </w:r>
      <w:r>
        <w:rPr>
          <w:rFonts w:asciiTheme="minorHAnsi" w:hAnsiTheme="minorHAnsi"/>
          <w:sz w:val="24"/>
        </w:rPr>
        <w:t>ązku</w:t>
      </w:r>
      <w:r w:rsidR="00BE7466">
        <w:rPr>
          <w:rFonts w:asciiTheme="minorHAnsi" w:hAnsiTheme="minorHAnsi"/>
          <w:sz w:val="24"/>
        </w:rPr>
        <w:t xml:space="preserve"> z tym</w:t>
      </w:r>
      <w:r>
        <w:rPr>
          <w:rFonts w:asciiTheme="minorHAnsi" w:hAnsiTheme="minorHAnsi"/>
          <w:sz w:val="24"/>
        </w:rPr>
        <w:t xml:space="preserve"> nie podlegają żadnym obowiązkom wizowym</w:t>
      </w:r>
      <w:r w:rsidR="00BE7466">
        <w:rPr>
          <w:rFonts w:asciiTheme="minorHAnsi" w:hAnsiTheme="minorHAnsi"/>
          <w:sz w:val="24"/>
        </w:rPr>
        <w:t xml:space="preserve"> w Uni</w:t>
      </w:r>
      <w:r>
        <w:rPr>
          <w:rFonts w:asciiTheme="minorHAnsi" w:hAnsiTheme="minorHAnsi"/>
          <w:sz w:val="24"/>
        </w:rPr>
        <w:t>i Europejskiej,</w:t>
      </w:r>
      <w:r w:rsidR="00BE7466">
        <w:rPr>
          <w:rFonts w:asciiTheme="minorHAnsi" w:hAnsiTheme="minorHAnsi"/>
          <w:sz w:val="24"/>
        </w:rPr>
        <w:t xml:space="preserve"> w szc</w:t>
      </w:r>
      <w:r>
        <w:rPr>
          <w:rFonts w:asciiTheme="minorHAnsi" w:hAnsiTheme="minorHAnsi"/>
          <w:sz w:val="24"/>
        </w:rPr>
        <w:t>zególności przy przekraczaniu granic strefy Schengen.</w:t>
      </w:r>
    </w:p>
    <w:p w:rsidR="005B5E63" w:rsidRDefault="00B858F1">
      <w:pPr>
        <w:spacing w:after="120"/>
        <w:jc w:val="both"/>
        <w:rPr>
          <w:rFonts w:asciiTheme="minorHAnsi" w:hAnsiTheme="minorHAnsi" w:cstheme="minorHAnsi"/>
          <w:sz w:val="24"/>
        </w:rPr>
      </w:pPr>
      <w:r>
        <w:rPr>
          <w:rFonts w:asciiTheme="minorHAnsi" w:hAnsiTheme="minorHAnsi"/>
          <w:sz w:val="24"/>
        </w:rPr>
        <w:t>Dzięki niedawno wprowadzonym środkom ustawodawczym</w:t>
      </w:r>
      <w:r w:rsidR="00BE7466">
        <w:rPr>
          <w:rFonts w:asciiTheme="minorHAnsi" w:hAnsiTheme="minorHAnsi"/>
          <w:sz w:val="24"/>
        </w:rPr>
        <w:t xml:space="preserve"> w zak</w:t>
      </w:r>
      <w:r>
        <w:rPr>
          <w:rFonts w:asciiTheme="minorHAnsi" w:hAnsiTheme="minorHAnsi"/>
          <w:sz w:val="24"/>
        </w:rPr>
        <w:t xml:space="preserve">resie gotowości UE zapewniono, że </w:t>
      </w:r>
      <w:r>
        <w:rPr>
          <w:rFonts w:asciiTheme="minorHAnsi" w:hAnsiTheme="minorHAnsi"/>
          <w:b/>
          <w:sz w:val="24"/>
        </w:rPr>
        <w:t>po dniu 1 stycznia 20</w:t>
      </w:r>
      <w:r w:rsidRPr="00C43387">
        <w:rPr>
          <w:rFonts w:asciiTheme="minorHAnsi" w:hAnsiTheme="minorHAnsi"/>
          <w:b/>
          <w:sz w:val="24"/>
        </w:rPr>
        <w:t>21</w:t>
      </w:r>
      <w:r w:rsidR="00C43387" w:rsidRPr="00C43387">
        <w:rPr>
          <w:rFonts w:asciiTheme="minorHAnsi" w:hAnsiTheme="minorHAnsi"/>
          <w:b/>
          <w:sz w:val="24"/>
        </w:rPr>
        <w:t> </w:t>
      </w:r>
      <w:r w:rsidRPr="00C43387">
        <w:rPr>
          <w:rFonts w:asciiTheme="minorHAnsi" w:hAnsiTheme="minorHAnsi"/>
          <w:b/>
          <w:sz w:val="24"/>
        </w:rPr>
        <w:t>r.</w:t>
      </w:r>
      <w:r>
        <w:rPr>
          <w:rFonts w:asciiTheme="minorHAnsi" w:hAnsiTheme="minorHAnsi"/>
          <w:sz w:val="24"/>
        </w:rPr>
        <w:t xml:space="preserve"> obywatele Zjednoczonego Królestwa pozostaną zwolnieni</w:t>
      </w:r>
      <w:r w:rsidR="00BE7466">
        <w:rPr>
          <w:rFonts w:asciiTheme="minorHAnsi" w:hAnsiTheme="minorHAnsi"/>
          <w:sz w:val="24"/>
        </w:rPr>
        <w:t xml:space="preserve"> z wym</w:t>
      </w:r>
      <w:r>
        <w:rPr>
          <w:rFonts w:asciiTheme="minorHAnsi" w:hAnsiTheme="minorHAnsi"/>
          <w:sz w:val="24"/>
        </w:rPr>
        <w:t>ogu posiadania wiz podczas przekraczania granic zewnętrznych Unii Europejskiej</w:t>
      </w:r>
      <w:r w:rsidR="00BE7466">
        <w:rPr>
          <w:rFonts w:asciiTheme="minorHAnsi" w:hAnsiTheme="minorHAnsi"/>
          <w:sz w:val="24"/>
        </w:rPr>
        <w:t xml:space="preserve"> w prz</w:t>
      </w:r>
      <w:r>
        <w:rPr>
          <w:rFonts w:asciiTheme="minorHAnsi" w:hAnsiTheme="minorHAnsi"/>
          <w:sz w:val="24"/>
        </w:rPr>
        <w:t>ypadku pobytów krótkoterminowych (</w:t>
      </w:r>
      <w:r w:rsidRPr="00C43387">
        <w:rPr>
          <w:rFonts w:asciiTheme="minorHAnsi" w:hAnsiTheme="minorHAnsi"/>
          <w:sz w:val="24"/>
        </w:rPr>
        <w:t>do</w:t>
      </w:r>
      <w:r w:rsidR="00C43387" w:rsidRPr="00C43387">
        <w:rPr>
          <w:rFonts w:asciiTheme="minorHAnsi" w:hAnsiTheme="minorHAnsi"/>
          <w:sz w:val="24"/>
        </w:rPr>
        <w:t> </w:t>
      </w:r>
      <w:r w:rsidRPr="00C43387">
        <w:rPr>
          <w:rFonts w:asciiTheme="minorHAnsi" w:hAnsiTheme="minorHAnsi"/>
          <w:sz w:val="24"/>
        </w:rPr>
        <w:t>9</w:t>
      </w:r>
      <w:r>
        <w:rPr>
          <w:rFonts w:asciiTheme="minorHAnsi" w:hAnsiTheme="minorHAnsi"/>
          <w:sz w:val="24"/>
        </w:rPr>
        <w:t>0 dni</w:t>
      </w:r>
      <w:r w:rsidR="00BE7466">
        <w:rPr>
          <w:rFonts w:asciiTheme="minorHAnsi" w:hAnsiTheme="minorHAnsi"/>
          <w:sz w:val="24"/>
        </w:rPr>
        <w:t xml:space="preserve"> w dow</w:t>
      </w:r>
      <w:r>
        <w:rPr>
          <w:rFonts w:asciiTheme="minorHAnsi" w:hAnsiTheme="minorHAnsi"/>
          <w:sz w:val="24"/>
        </w:rPr>
        <w:t>olnym okresie 180 dni). To zwolnienie</w:t>
      </w:r>
      <w:r w:rsidR="00BE7466">
        <w:rPr>
          <w:rFonts w:asciiTheme="minorHAnsi" w:hAnsiTheme="minorHAnsi"/>
          <w:sz w:val="24"/>
        </w:rPr>
        <w:t xml:space="preserve"> z obo</w:t>
      </w:r>
      <w:r>
        <w:rPr>
          <w:rFonts w:asciiTheme="minorHAnsi" w:hAnsiTheme="minorHAnsi"/>
          <w:sz w:val="24"/>
        </w:rPr>
        <w:t>wiązku wizowego nie zapewnia prawa do pracy</w:t>
      </w:r>
      <w:r w:rsidR="00BE7466">
        <w:rPr>
          <w:rFonts w:asciiTheme="minorHAnsi" w:hAnsiTheme="minorHAnsi"/>
          <w:sz w:val="24"/>
        </w:rPr>
        <w:t xml:space="preserve"> w Uni</w:t>
      </w:r>
      <w:r>
        <w:rPr>
          <w:rFonts w:asciiTheme="minorHAnsi" w:hAnsiTheme="minorHAnsi"/>
          <w:sz w:val="24"/>
        </w:rPr>
        <w:t>i</w:t>
      </w:r>
      <w:r w:rsidR="00BE7466">
        <w:rPr>
          <w:rFonts w:asciiTheme="minorHAnsi" w:hAnsiTheme="minorHAnsi"/>
          <w:sz w:val="24"/>
        </w:rPr>
        <w:t xml:space="preserve"> i pod</w:t>
      </w:r>
      <w:r>
        <w:rPr>
          <w:rFonts w:asciiTheme="minorHAnsi" w:hAnsiTheme="minorHAnsi"/>
          <w:sz w:val="24"/>
        </w:rPr>
        <w:t>lega mechanizmowi wzajemności mającemu zastosowanie do państw trzecich, tzn. mogłoby zostać zawieszone, gdyby obywatelom Unii przestano przyznawać prawo do bezwizowego wjazdu do Zjednoczonego Królestwa na pobyt krótkoterminowy.</w:t>
      </w:r>
    </w:p>
    <w:p w:rsidR="005B5E63" w:rsidRPr="00C43387" w:rsidRDefault="00B858F1">
      <w:pPr>
        <w:spacing w:after="120"/>
        <w:jc w:val="both"/>
        <w:rPr>
          <w:rFonts w:asciiTheme="minorHAnsi" w:hAnsiTheme="minorHAnsi" w:cstheme="minorHAnsi"/>
          <w:sz w:val="24"/>
        </w:rPr>
      </w:pPr>
      <w:r>
        <w:rPr>
          <w:rFonts w:asciiTheme="minorHAnsi" w:hAnsiTheme="minorHAnsi"/>
          <w:sz w:val="24"/>
        </w:rPr>
        <w:t>Przepisy wizowe ulegną również zmianie</w:t>
      </w:r>
      <w:r w:rsidR="00BE7466">
        <w:rPr>
          <w:rFonts w:asciiTheme="minorHAnsi" w:hAnsiTheme="minorHAnsi"/>
          <w:sz w:val="24"/>
        </w:rPr>
        <w:t xml:space="preserve"> w odn</w:t>
      </w:r>
      <w:r>
        <w:rPr>
          <w:rFonts w:asciiTheme="minorHAnsi" w:hAnsiTheme="minorHAnsi"/>
          <w:sz w:val="24"/>
        </w:rPr>
        <w:t>iesieniu do niektórych obywateli państw trzecich przebywających</w:t>
      </w:r>
      <w:r w:rsidR="00BE7466">
        <w:rPr>
          <w:rFonts w:asciiTheme="minorHAnsi" w:hAnsiTheme="minorHAnsi"/>
          <w:sz w:val="24"/>
        </w:rPr>
        <w:t xml:space="preserve"> w Zje</w:t>
      </w:r>
      <w:r>
        <w:rPr>
          <w:rFonts w:asciiTheme="minorHAnsi" w:hAnsiTheme="minorHAnsi"/>
          <w:sz w:val="24"/>
        </w:rPr>
        <w:t>dnoczonym Królestwie</w:t>
      </w:r>
      <w:r w:rsidR="00BE7466">
        <w:rPr>
          <w:rFonts w:asciiTheme="minorHAnsi" w:hAnsiTheme="minorHAnsi"/>
          <w:sz w:val="24"/>
        </w:rPr>
        <w:t xml:space="preserve"> i pod</w:t>
      </w:r>
      <w:r>
        <w:rPr>
          <w:rFonts w:asciiTheme="minorHAnsi" w:hAnsiTheme="minorHAnsi"/>
          <w:sz w:val="24"/>
        </w:rPr>
        <w:t>różujących do Unii. Na przykład od dnia 1 stycznia 20</w:t>
      </w:r>
      <w:r w:rsidRPr="00C43387">
        <w:rPr>
          <w:rFonts w:asciiTheme="minorHAnsi" w:hAnsiTheme="minorHAnsi"/>
          <w:sz w:val="24"/>
        </w:rPr>
        <w:t>21</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dokumenty pobytu</w:t>
      </w:r>
      <w:r w:rsidR="00BE7466">
        <w:rPr>
          <w:rFonts w:asciiTheme="minorHAnsi" w:hAnsiTheme="minorHAnsi"/>
          <w:sz w:val="24"/>
        </w:rPr>
        <w:t xml:space="preserve"> w Zje</w:t>
      </w:r>
      <w:r>
        <w:rPr>
          <w:rFonts w:asciiTheme="minorHAnsi" w:hAnsiTheme="minorHAnsi"/>
          <w:sz w:val="24"/>
        </w:rPr>
        <w:t>dnoczonym Królestwie nie będą już zwalniać ich posiadacza</w:t>
      </w:r>
      <w:r w:rsidR="00BE7466">
        <w:rPr>
          <w:rFonts w:asciiTheme="minorHAnsi" w:hAnsiTheme="minorHAnsi"/>
          <w:sz w:val="24"/>
        </w:rPr>
        <w:t xml:space="preserve"> z obo</w:t>
      </w:r>
      <w:r>
        <w:rPr>
          <w:rFonts w:asciiTheme="minorHAnsi" w:hAnsiTheme="minorHAnsi"/>
          <w:sz w:val="24"/>
        </w:rPr>
        <w:t>wiązku posiadania tranzytowej wizy lotniskowej</w:t>
      </w:r>
      <w:r w:rsidR="00BE7466">
        <w:rPr>
          <w:rFonts w:asciiTheme="minorHAnsi" w:hAnsiTheme="minorHAnsi"/>
          <w:sz w:val="24"/>
        </w:rPr>
        <w:t xml:space="preserve"> w Uni</w:t>
      </w:r>
      <w:r>
        <w:rPr>
          <w:rFonts w:asciiTheme="minorHAnsi" w:hAnsiTheme="minorHAnsi"/>
          <w:sz w:val="24"/>
        </w:rPr>
        <w:t>i,</w:t>
      </w:r>
      <w:r w:rsidR="00BE7466">
        <w:rPr>
          <w:rFonts w:asciiTheme="minorHAnsi" w:hAnsiTheme="minorHAnsi"/>
          <w:sz w:val="24"/>
        </w:rPr>
        <w:t xml:space="preserve"> a ucz</w:t>
      </w:r>
      <w:r>
        <w:rPr>
          <w:rFonts w:asciiTheme="minorHAnsi" w:hAnsiTheme="minorHAnsi"/>
          <w:sz w:val="24"/>
        </w:rPr>
        <w:t>niowie przebywający</w:t>
      </w:r>
      <w:r w:rsidR="00BE7466">
        <w:rPr>
          <w:rFonts w:asciiTheme="minorHAnsi" w:hAnsiTheme="minorHAnsi"/>
          <w:sz w:val="24"/>
        </w:rPr>
        <w:t xml:space="preserve"> w Zje</w:t>
      </w:r>
      <w:r>
        <w:rPr>
          <w:rFonts w:asciiTheme="minorHAnsi" w:hAnsiTheme="minorHAnsi"/>
          <w:sz w:val="24"/>
        </w:rPr>
        <w:t>dnoczonym Królestwie nie będą już automatycznie korzystać</w:t>
      </w:r>
      <w:r w:rsidR="00BE7466">
        <w:rPr>
          <w:rFonts w:asciiTheme="minorHAnsi" w:hAnsiTheme="minorHAnsi"/>
          <w:sz w:val="24"/>
        </w:rPr>
        <w:t xml:space="preserve"> z ruc</w:t>
      </w:r>
      <w:r>
        <w:rPr>
          <w:rFonts w:asciiTheme="minorHAnsi" w:hAnsiTheme="minorHAnsi"/>
          <w:sz w:val="24"/>
        </w:rPr>
        <w:t>hu bezwizowego na terenie Unii podczas wycieczek szkolnych</w:t>
      </w:r>
      <w:r w:rsidRPr="00C43387">
        <w:rPr>
          <w:rFonts w:asciiTheme="minorHAnsi" w:hAnsiTheme="minorHAnsi"/>
          <w:sz w:val="24"/>
        </w:rPr>
        <w:t>.</w:t>
      </w:r>
      <w:r w:rsidR="00C43387" w:rsidRPr="00C43387">
        <w:rPr>
          <w:rFonts w:asciiTheme="minorHAnsi" w:hAnsiTheme="minorHAnsi"/>
          <w:sz w:val="24"/>
        </w:rPr>
        <w:t xml:space="preserve"> </w:t>
      </w:r>
    </w:p>
    <w:p w:rsidR="005B5E63" w:rsidRDefault="00B858F1">
      <w:pPr>
        <w:spacing w:after="120"/>
        <w:jc w:val="both"/>
        <w:rPr>
          <w:rFonts w:asciiTheme="minorHAnsi" w:hAnsiTheme="minorHAnsi" w:cstheme="minorHAnsi"/>
          <w:i/>
          <w:sz w:val="24"/>
        </w:rPr>
      </w:pPr>
      <w:r>
        <w:rPr>
          <w:rFonts w:asciiTheme="minorHAnsi" w:hAnsiTheme="minorHAnsi"/>
          <w:i/>
          <w:sz w:val="24"/>
        </w:rPr>
        <w:t>Podróżowanie ze zwierzętami domowymi</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właściciele zwierząt domowych mieszkający</w:t>
      </w:r>
      <w:r w:rsidR="00BE7466">
        <w:rPr>
          <w:rFonts w:asciiTheme="minorHAnsi" w:hAnsiTheme="minorHAnsi"/>
          <w:sz w:val="24"/>
          <w:szCs w:val="24"/>
        </w:rPr>
        <w:t xml:space="preserve"> w Zje</w:t>
      </w:r>
      <w:r>
        <w:rPr>
          <w:rFonts w:asciiTheme="minorHAnsi" w:hAnsiTheme="minorHAnsi"/>
          <w:sz w:val="24"/>
          <w:szCs w:val="24"/>
        </w:rPr>
        <w:t>dnoczonym Królestwie mogą korzystać z „unijnego paszportu dla zwierząt domowych”</w:t>
      </w:r>
      <w:r w:rsidR="00BE7466">
        <w:rPr>
          <w:rFonts w:asciiTheme="minorHAnsi" w:hAnsiTheme="minorHAnsi"/>
          <w:sz w:val="24"/>
          <w:szCs w:val="24"/>
        </w:rPr>
        <w:t xml:space="preserve"> w cel</w:t>
      </w:r>
      <w:r>
        <w:rPr>
          <w:rFonts w:asciiTheme="minorHAnsi" w:hAnsiTheme="minorHAnsi"/>
          <w:sz w:val="24"/>
          <w:szCs w:val="24"/>
        </w:rPr>
        <w:t>u łatwiejszego podróżowania ze swoimi zwierzętami domowymi</w:t>
      </w:r>
      <w:r w:rsidR="00BE7466">
        <w:rPr>
          <w:rFonts w:asciiTheme="minorHAnsi" w:hAnsiTheme="minorHAnsi"/>
          <w:sz w:val="24"/>
          <w:szCs w:val="24"/>
        </w:rPr>
        <w:t xml:space="preserve"> w </w:t>
      </w:r>
      <w:r w:rsidR="00BE7466">
        <w:rPr>
          <w:rFonts w:asciiTheme="minorHAnsi" w:hAnsiTheme="minorHAnsi"/>
          <w:sz w:val="24"/>
        </w:rPr>
        <w:t>Uni</w:t>
      </w:r>
      <w:r>
        <w:rPr>
          <w:rFonts w:asciiTheme="minorHAnsi" w:hAnsiTheme="minorHAnsi"/>
          <w:sz w:val="24"/>
        </w:rPr>
        <w:t>i Europejskiej</w:t>
      </w:r>
      <w:r>
        <w:rPr>
          <w:rFonts w:asciiTheme="minorHAnsi" w:hAnsiTheme="minorHAnsi"/>
          <w:sz w:val="24"/>
          <w:szCs w:val="24"/>
        </w:rPr>
        <w:t xml:space="preserve">. </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paszport dla zwierząt domowych wydany właścicielowi zwierzęcia domowego mieszkającemu</w:t>
      </w:r>
      <w:r w:rsidR="00BE7466">
        <w:rPr>
          <w:rFonts w:asciiTheme="minorHAnsi" w:hAnsiTheme="minorHAnsi"/>
          <w:sz w:val="24"/>
          <w:szCs w:val="24"/>
        </w:rPr>
        <w:t xml:space="preserve"> w Zje</w:t>
      </w:r>
      <w:r>
        <w:rPr>
          <w:rFonts w:asciiTheme="minorHAnsi" w:hAnsiTheme="minorHAnsi"/>
          <w:sz w:val="24"/>
          <w:szCs w:val="24"/>
        </w:rPr>
        <w:t>dnoczonym Królestwie nie będzie już ważnym dokumentem uprawniającym do podróżowania ze zwierzętami domowymi ze Zjednoczonego Królestwa do któregokolwiek</w:t>
      </w:r>
      <w:r w:rsidR="00BE7466">
        <w:rPr>
          <w:rFonts w:asciiTheme="minorHAnsi" w:hAnsiTheme="minorHAnsi"/>
          <w:sz w:val="24"/>
          <w:szCs w:val="24"/>
        </w:rPr>
        <w:t xml:space="preserve"> z pań</w:t>
      </w:r>
      <w:r>
        <w:rPr>
          <w:rFonts w:asciiTheme="minorHAnsi" w:hAnsiTheme="minorHAnsi"/>
          <w:sz w:val="24"/>
          <w:szCs w:val="24"/>
        </w:rPr>
        <w:t>stw członkowskich UE. Wymagania dotyczące zwierząt domowych towarzyszących osobom podróżującym ze Zjednoczonego Królestwa</w:t>
      </w:r>
      <w:r w:rsidR="00BE7466">
        <w:rPr>
          <w:rFonts w:asciiTheme="minorHAnsi" w:hAnsiTheme="minorHAnsi"/>
          <w:sz w:val="24"/>
          <w:szCs w:val="24"/>
        </w:rPr>
        <w:t xml:space="preserve"> w prz</w:t>
      </w:r>
      <w:r>
        <w:rPr>
          <w:rFonts w:asciiTheme="minorHAnsi" w:hAnsiTheme="minorHAnsi"/>
          <w:sz w:val="24"/>
          <w:szCs w:val="24"/>
        </w:rPr>
        <w:t xml:space="preserve">yszłości zostaną ustalone przez Unię. </w:t>
      </w:r>
    </w:p>
    <w:p w:rsidR="005B5E63" w:rsidRPr="006D5231" w:rsidRDefault="00B858F1" w:rsidP="006D5231">
      <w:pPr>
        <w:pStyle w:val="Nagwek3"/>
        <w:spacing w:before="240"/>
        <w:rPr>
          <w:b w:val="0"/>
          <w:i/>
        </w:rPr>
      </w:pPr>
      <w:bookmarkStart w:id="27" w:name="_Toc46137010"/>
      <w:r w:rsidRPr="006D5231">
        <w:rPr>
          <w:b w:val="0"/>
          <w:i/>
        </w:rPr>
        <w:t>Prawa jazdy</w:t>
      </w:r>
      <w:bookmarkEnd w:id="27"/>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stosuje się prawo Unii Europejskiej</w:t>
      </w:r>
      <w:r w:rsidR="00BE7466">
        <w:rPr>
          <w:rFonts w:asciiTheme="minorHAnsi" w:hAnsiTheme="minorHAnsi"/>
          <w:sz w:val="24"/>
          <w:szCs w:val="24"/>
        </w:rPr>
        <w:t xml:space="preserve"> w spr</w:t>
      </w:r>
      <w:r>
        <w:rPr>
          <w:rFonts w:asciiTheme="minorHAnsi" w:hAnsiTheme="minorHAnsi"/>
          <w:sz w:val="24"/>
          <w:szCs w:val="24"/>
        </w:rPr>
        <w:t>awie uznawania praw jazdy</w:t>
      </w:r>
      <w:r w:rsidR="00BE7466">
        <w:rPr>
          <w:rFonts w:asciiTheme="minorHAnsi" w:hAnsiTheme="minorHAnsi"/>
          <w:sz w:val="24"/>
          <w:szCs w:val="24"/>
        </w:rPr>
        <w:t xml:space="preserve"> w cał</w:t>
      </w:r>
      <w:r>
        <w:rPr>
          <w:rFonts w:asciiTheme="minorHAnsi" w:hAnsiTheme="minorHAnsi"/>
          <w:sz w:val="24"/>
          <w:szCs w:val="24"/>
        </w:rPr>
        <w:t xml:space="preserve">ej </w:t>
      </w:r>
      <w:r>
        <w:rPr>
          <w:rFonts w:asciiTheme="minorHAnsi" w:hAnsiTheme="minorHAnsi"/>
          <w:sz w:val="24"/>
        </w:rPr>
        <w:t>Unii Europejskiej</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posiadacze praw jazdy wydanych przez </w:t>
      </w:r>
      <w:r>
        <w:rPr>
          <w:rFonts w:asciiTheme="minorHAnsi" w:hAnsiTheme="minorHAnsi"/>
          <w:sz w:val="24"/>
          <w:szCs w:val="24"/>
        </w:rPr>
        <w:lastRenderedPageBreak/>
        <w:t xml:space="preserve">Zjednoczone Królestwo mogą obecnie nadal prowadzić pojazdy w UE bez konieczności posiadania dodatkowych dokumentów. </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prawa jazdy wydawane przez Zjednoczone Królestwo nie będą już podlegać wzajemnemu uznawaniu na mocy prawa Unii. Uznawanie praw jazdy wydawanych przez Zjednoczone Królestwo będzie regulowane na szczeblu państw członkowskich</w:t>
      </w:r>
      <w:r w:rsidR="00BE7466">
        <w:rPr>
          <w:rFonts w:asciiTheme="minorHAnsi" w:hAnsiTheme="minorHAnsi"/>
          <w:sz w:val="24"/>
          <w:szCs w:val="24"/>
        </w:rPr>
        <w:t>. W pań</w:t>
      </w:r>
      <w:r>
        <w:rPr>
          <w:rFonts w:asciiTheme="minorHAnsi" w:hAnsiTheme="minorHAnsi"/>
          <w:sz w:val="24"/>
          <w:szCs w:val="24"/>
        </w:rPr>
        <w:t>stwach członkowskich, które są stronami Konwencji genewskiej</w:t>
      </w:r>
      <w:r w:rsidR="00BE7466">
        <w:rPr>
          <w:rFonts w:asciiTheme="minorHAnsi" w:hAnsiTheme="minorHAnsi"/>
          <w:sz w:val="24"/>
          <w:szCs w:val="24"/>
        </w:rPr>
        <w:t xml:space="preserve"> o ruc</w:t>
      </w:r>
      <w:r>
        <w:rPr>
          <w:rFonts w:asciiTheme="minorHAnsi" w:hAnsiTheme="minorHAnsi"/>
          <w:sz w:val="24"/>
          <w:szCs w:val="24"/>
        </w:rPr>
        <w:t>hu drogowym</w:t>
      </w:r>
      <w:r w:rsidR="00BE7466">
        <w:rPr>
          <w:rFonts w:asciiTheme="minorHAnsi" w:hAnsiTheme="minorHAnsi"/>
          <w:sz w:val="24"/>
          <w:szCs w:val="24"/>
        </w:rPr>
        <w:t xml:space="preserve"> z 1</w:t>
      </w:r>
      <w:r>
        <w:rPr>
          <w:rFonts w:asciiTheme="minorHAnsi" w:hAnsiTheme="minorHAnsi"/>
          <w:sz w:val="24"/>
          <w:szCs w:val="24"/>
        </w:rPr>
        <w:t>9</w:t>
      </w:r>
      <w:r w:rsidRPr="00C43387">
        <w:rPr>
          <w:rFonts w:asciiTheme="minorHAnsi" w:hAnsiTheme="minorHAnsi"/>
          <w:sz w:val="24"/>
          <w:szCs w:val="24"/>
        </w:rPr>
        <w:t>49</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będzie miała zastosowanie ta konwencja</w:t>
      </w:r>
      <w:r w:rsidR="00BE7466">
        <w:rPr>
          <w:rFonts w:asciiTheme="minorHAnsi" w:hAnsiTheme="minorHAnsi"/>
          <w:sz w:val="24"/>
          <w:szCs w:val="24"/>
        </w:rPr>
        <w:t>. W cel</w:t>
      </w:r>
      <w:r>
        <w:rPr>
          <w:rFonts w:asciiTheme="minorHAnsi" w:hAnsiTheme="minorHAnsi"/>
          <w:sz w:val="24"/>
          <w:szCs w:val="24"/>
        </w:rPr>
        <w:t>u uzyskania dalszych informacji należy skonsultować się</w:t>
      </w:r>
      <w:r w:rsidR="00BE7466">
        <w:rPr>
          <w:rFonts w:asciiTheme="minorHAnsi" w:hAnsiTheme="minorHAnsi"/>
          <w:sz w:val="24"/>
          <w:szCs w:val="24"/>
        </w:rPr>
        <w:t xml:space="preserve"> z wła</w:t>
      </w:r>
      <w:r>
        <w:rPr>
          <w:rFonts w:asciiTheme="minorHAnsi" w:hAnsiTheme="minorHAnsi"/>
          <w:sz w:val="24"/>
          <w:szCs w:val="24"/>
        </w:rPr>
        <w:t xml:space="preserve">ściwym organem danego państwa członkowskiego. </w:t>
      </w:r>
    </w:p>
    <w:p w:rsidR="005B5E63" w:rsidRPr="006D5231" w:rsidRDefault="00B858F1" w:rsidP="006D5231">
      <w:pPr>
        <w:pStyle w:val="Nagwek3"/>
        <w:spacing w:before="240"/>
        <w:rPr>
          <w:b w:val="0"/>
          <w:i/>
        </w:rPr>
      </w:pPr>
      <w:bookmarkStart w:id="28" w:name="_Toc46137011"/>
      <w:r w:rsidRPr="006D5231">
        <w:rPr>
          <w:b w:val="0"/>
          <w:i/>
        </w:rPr>
        <w:t>Roaming</w:t>
      </w:r>
      <w:bookmarkEnd w:id="28"/>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prawo Unii dotyczące roamingu ma zastosowanie</w:t>
      </w:r>
      <w:r w:rsidR="00BE7466">
        <w:rPr>
          <w:rFonts w:asciiTheme="minorHAnsi" w:hAnsiTheme="minorHAnsi"/>
          <w:sz w:val="24"/>
          <w:szCs w:val="24"/>
        </w:rPr>
        <w:t xml:space="preserve"> w odn</w:t>
      </w:r>
      <w:r>
        <w:rPr>
          <w:rFonts w:asciiTheme="minorHAnsi" w:hAnsiTheme="minorHAnsi"/>
          <w:sz w:val="24"/>
          <w:szCs w:val="24"/>
        </w:rPr>
        <w:t>iesieniu do Zjednoczonego Królestwa</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obecnie rozporządzenie zapewniające roaming bez dodatkowych opłat ma zastosowanie</w:t>
      </w:r>
      <w:r w:rsidR="00BE7466">
        <w:rPr>
          <w:rFonts w:asciiTheme="minorHAnsi" w:hAnsiTheme="minorHAnsi"/>
          <w:sz w:val="24"/>
          <w:szCs w:val="24"/>
        </w:rPr>
        <w:t xml:space="preserve"> w odn</w:t>
      </w:r>
      <w:r>
        <w:rPr>
          <w:rFonts w:asciiTheme="minorHAnsi" w:hAnsiTheme="minorHAnsi"/>
          <w:sz w:val="24"/>
          <w:szCs w:val="24"/>
        </w:rPr>
        <w:t>iesieniu do Zjednoczonego Królestwa i na jego terytorium.</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prawo Unii nie będzie już gwarantowało konsumentom</w:t>
      </w:r>
      <w:r w:rsidR="00BE7466">
        <w:rPr>
          <w:rFonts w:asciiTheme="minorHAnsi" w:hAnsiTheme="minorHAnsi"/>
          <w:sz w:val="24"/>
          <w:szCs w:val="24"/>
        </w:rPr>
        <w:t xml:space="preserve"> w Zje</w:t>
      </w:r>
      <w:r>
        <w:rPr>
          <w:rFonts w:asciiTheme="minorHAnsi" w:hAnsiTheme="minorHAnsi"/>
          <w:sz w:val="24"/>
          <w:szCs w:val="24"/>
        </w:rPr>
        <w:t>dnoczonym Królestwie możliwości korzystania</w:t>
      </w:r>
      <w:r w:rsidR="00BE7466">
        <w:rPr>
          <w:rFonts w:asciiTheme="minorHAnsi" w:hAnsiTheme="minorHAnsi"/>
          <w:sz w:val="24"/>
          <w:szCs w:val="24"/>
        </w:rPr>
        <w:t xml:space="preserve"> z tel</w:t>
      </w:r>
      <w:r>
        <w:rPr>
          <w:rFonts w:asciiTheme="minorHAnsi" w:hAnsiTheme="minorHAnsi"/>
          <w:sz w:val="24"/>
          <w:szCs w:val="24"/>
        </w:rPr>
        <w:t>efonu za granicą</w:t>
      </w:r>
      <w:r w:rsidR="00BE7466">
        <w:rPr>
          <w:rFonts w:asciiTheme="minorHAnsi" w:hAnsiTheme="minorHAnsi"/>
          <w:sz w:val="24"/>
          <w:szCs w:val="24"/>
        </w:rPr>
        <w:t xml:space="preserve"> w Uni</w:t>
      </w:r>
      <w:r>
        <w:rPr>
          <w:rFonts w:asciiTheme="minorHAnsi" w:hAnsiTheme="minorHAnsi"/>
          <w:sz w:val="24"/>
          <w:szCs w:val="24"/>
        </w:rPr>
        <w:t>i Europejskiej tak jak</w:t>
      </w:r>
      <w:r w:rsidR="00BE7466">
        <w:rPr>
          <w:rFonts w:asciiTheme="minorHAnsi" w:hAnsiTheme="minorHAnsi"/>
          <w:sz w:val="24"/>
          <w:szCs w:val="24"/>
        </w:rPr>
        <w:t xml:space="preserve"> w kra</w:t>
      </w:r>
      <w:r>
        <w:rPr>
          <w:rFonts w:asciiTheme="minorHAnsi" w:hAnsiTheme="minorHAnsi"/>
          <w:sz w:val="24"/>
          <w:szCs w:val="24"/>
        </w:rPr>
        <w:t xml:space="preserve">ju; konsumenci unijni podróżujący do Zjednoczonego Królestwa również nie będą mieli takiej gwarancji.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Zatem zarówno operatorzy telefonii komórkowej</w:t>
      </w:r>
      <w:r w:rsidR="00BE7466">
        <w:rPr>
          <w:rFonts w:asciiTheme="minorHAnsi" w:hAnsiTheme="minorHAnsi"/>
          <w:sz w:val="24"/>
          <w:szCs w:val="24"/>
        </w:rPr>
        <w:t xml:space="preserve"> w Zje</w:t>
      </w:r>
      <w:r>
        <w:rPr>
          <w:rFonts w:asciiTheme="minorHAnsi" w:hAnsiTheme="minorHAnsi"/>
          <w:sz w:val="24"/>
          <w:szCs w:val="24"/>
        </w:rPr>
        <w:t>dnoczonym Królestwie, jak</w:t>
      </w:r>
      <w:r w:rsidR="00BE7466">
        <w:rPr>
          <w:rFonts w:asciiTheme="minorHAnsi" w:hAnsiTheme="minorHAnsi"/>
          <w:sz w:val="24"/>
          <w:szCs w:val="24"/>
        </w:rPr>
        <w:t xml:space="preserve"> i w Uni</w:t>
      </w:r>
      <w:r>
        <w:rPr>
          <w:rFonts w:asciiTheme="minorHAnsi" w:hAnsiTheme="minorHAnsi"/>
          <w:sz w:val="24"/>
          <w:szCs w:val="24"/>
        </w:rPr>
        <w:t>i będą mogli nakładać na klientów korzystających</w:t>
      </w:r>
      <w:r w:rsidR="00BE7466">
        <w:rPr>
          <w:rFonts w:asciiTheme="minorHAnsi" w:hAnsiTheme="minorHAnsi"/>
          <w:sz w:val="24"/>
          <w:szCs w:val="24"/>
        </w:rPr>
        <w:t xml:space="preserve"> z roa</w:t>
      </w:r>
      <w:r>
        <w:rPr>
          <w:rFonts w:asciiTheme="minorHAnsi" w:hAnsiTheme="minorHAnsi"/>
          <w:sz w:val="24"/>
          <w:szCs w:val="24"/>
        </w:rPr>
        <w:t>mingu dodatkowe opłaty.</w:t>
      </w:r>
    </w:p>
    <w:p w:rsidR="005B5E63" w:rsidRPr="006D5231" w:rsidRDefault="00B858F1" w:rsidP="006D5231">
      <w:pPr>
        <w:pStyle w:val="Nagwek3"/>
        <w:spacing w:before="240"/>
        <w:rPr>
          <w:b w:val="0"/>
          <w:i/>
        </w:rPr>
      </w:pPr>
      <w:bookmarkStart w:id="29" w:name="_Toc46137012"/>
      <w:r w:rsidRPr="006D5231">
        <w:rPr>
          <w:b w:val="0"/>
          <w:i/>
        </w:rPr>
        <w:t>Prawa pasażerów</w:t>
      </w:r>
      <w:bookmarkEnd w:id="29"/>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prawo Unii dotyczące praw pasażerów</w:t>
      </w:r>
      <w:r w:rsidR="00BE7466">
        <w:rPr>
          <w:rFonts w:asciiTheme="minorHAnsi" w:hAnsiTheme="minorHAnsi"/>
          <w:sz w:val="24"/>
          <w:szCs w:val="24"/>
        </w:rPr>
        <w:t xml:space="preserve"> w tra</w:t>
      </w:r>
      <w:r>
        <w:rPr>
          <w:rFonts w:asciiTheme="minorHAnsi" w:hAnsiTheme="minorHAnsi"/>
          <w:sz w:val="24"/>
          <w:szCs w:val="24"/>
        </w:rPr>
        <w:t>nsporcie lotniczym, kolejowym, autobusowym, autokarowym</w:t>
      </w:r>
      <w:r w:rsidR="00BE7466">
        <w:rPr>
          <w:rFonts w:asciiTheme="minorHAnsi" w:hAnsiTheme="minorHAnsi"/>
          <w:sz w:val="24"/>
          <w:szCs w:val="24"/>
        </w:rPr>
        <w:t xml:space="preserve"> i mor</w:t>
      </w:r>
      <w:r>
        <w:rPr>
          <w:rFonts w:asciiTheme="minorHAnsi" w:hAnsiTheme="minorHAnsi"/>
          <w:sz w:val="24"/>
          <w:szCs w:val="24"/>
        </w:rPr>
        <w:t>skim,</w:t>
      </w:r>
      <w:r w:rsidR="00BE7466">
        <w:rPr>
          <w:rFonts w:asciiTheme="minorHAnsi" w:hAnsiTheme="minorHAnsi"/>
          <w:sz w:val="24"/>
          <w:szCs w:val="24"/>
        </w:rPr>
        <w:t xml:space="preserve"> w tym</w:t>
      </w:r>
      <w:r>
        <w:rPr>
          <w:rFonts w:asciiTheme="minorHAnsi" w:hAnsiTheme="minorHAnsi"/>
          <w:sz w:val="24"/>
          <w:szCs w:val="24"/>
        </w:rPr>
        <w:t xml:space="preserve"> pomocy dla pasażerów niepełnosprawnych lub</w:t>
      </w:r>
      <w:r w:rsidR="00BE7466">
        <w:rPr>
          <w:rFonts w:asciiTheme="minorHAnsi" w:hAnsiTheme="minorHAnsi"/>
          <w:sz w:val="24"/>
          <w:szCs w:val="24"/>
        </w:rPr>
        <w:t xml:space="preserve"> o ogr</w:t>
      </w:r>
      <w:r>
        <w:rPr>
          <w:rFonts w:asciiTheme="minorHAnsi" w:hAnsiTheme="minorHAnsi"/>
          <w:sz w:val="24"/>
          <w:szCs w:val="24"/>
        </w:rPr>
        <w:t xml:space="preserve">aniczonej sprawności ruchowej, nadal ma zastosowanie do pasażerów wyjeżdżających ze Zjednoczonego Królestwa do państwa członkowskiego UE, niezależnie od tego, czy przewoźnik jest przewoźnikiem ze Zjednoczonego Królestwa, czy unijnym. </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będzie to miało wpływ na poziom ochrony pasażerów podróżujących między UE</w:t>
      </w:r>
      <w:r w:rsidR="00BE7466">
        <w:rPr>
          <w:rFonts w:asciiTheme="minorHAnsi" w:hAnsiTheme="minorHAnsi"/>
          <w:sz w:val="24"/>
          <w:szCs w:val="24"/>
        </w:rPr>
        <w:t xml:space="preserve"> a Zje</w:t>
      </w:r>
      <w:r>
        <w:rPr>
          <w:rFonts w:asciiTheme="minorHAnsi" w:hAnsiTheme="minorHAnsi"/>
          <w:sz w:val="24"/>
          <w:szCs w:val="24"/>
        </w:rPr>
        <w:t>dnoczonym Królestwem</w:t>
      </w:r>
      <w:r w:rsidR="00BE7466">
        <w:rPr>
          <w:rFonts w:asciiTheme="minorHAnsi" w:hAnsiTheme="minorHAnsi"/>
          <w:sz w:val="24"/>
          <w:szCs w:val="24"/>
        </w:rPr>
        <w:t>. W zal</w:t>
      </w:r>
      <w:r>
        <w:rPr>
          <w:rFonts w:asciiTheme="minorHAnsi" w:hAnsiTheme="minorHAnsi"/>
          <w:sz w:val="24"/>
          <w:szCs w:val="24"/>
        </w:rPr>
        <w:t>eżności od środka transportu pasażerowie mogą nie być już chronieni przez prawa, jakie przysługują pasażerom UE podczas podróży do Zjednoczonego Królestwa lub</w:t>
      </w:r>
      <w:r w:rsidR="00BE7466">
        <w:rPr>
          <w:rFonts w:asciiTheme="minorHAnsi" w:hAnsiTheme="minorHAnsi"/>
          <w:sz w:val="24"/>
          <w:szCs w:val="24"/>
        </w:rPr>
        <w:t xml:space="preserve"> z teg</w:t>
      </w:r>
      <w:r>
        <w:rPr>
          <w:rFonts w:asciiTheme="minorHAnsi" w:hAnsiTheme="minorHAnsi"/>
          <w:sz w:val="24"/>
          <w:szCs w:val="24"/>
        </w:rPr>
        <w:t xml:space="preserve">o państwa.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osób fizycznych,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Osoby podróżujące powinny wziąć pod uwagę zmiany związane</w:t>
      </w:r>
      <w:r w:rsidR="00BE7466">
        <w:rPr>
          <w:rFonts w:asciiTheme="minorHAnsi" w:hAnsiTheme="minorHAnsi"/>
          <w:sz w:val="24"/>
          <w:szCs w:val="24"/>
        </w:rPr>
        <w:t xml:space="preserve"> z odp</w:t>
      </w:r>
      <w:r>
        <w:rPr>
          <w:rFonts w:asciiTheme="minorHAnsi" w:hAnsiTheme="minorHAnsi"/>
          <w:sz w:val="24"/>
          <w:szCs w:val="24"/>
        </w:rPr>
        <w:t>rawą graniczną, obowiązkami wizowymi, paszportami dla zwierząt domowych, prawami jazdy</w:t>
      </w:r>
      <w:r w:rsidR="00BE7466">
        <w:rPr>
          <w:rFonts w:asciiTheme="minorHAnsi" w:hAnsiTheme="minorHAnsi"/>
          <w:sz w:val="24"/>
          <w:szCs w:val="24"/>
        </w:rPr>
        <w:t xml:space="preserve"> i opł</w:t>
      </w:r>
      <w:r>
        <w:rPr>
          <w:rFonts w:asciiTheme="minorHAnsi" w:hAnsiTheme="minorHAnsi"/>
          <w:sz w:val="24"/>
          <w:szCs w:val="24"/>
        </w:rPr>
        <w:t>atami roamingowymi podczas podróży do Zjednoczonego Królestwa</w:t>
      </w:r>
      <w:r w:rsidR="00BE7466">
        <w:rPr>
          <w:rFonts w:asciiTheme="minorHAnsi" w:hAnsiTheme="minorHAnsi"/>
          <w:sz w:val="24"/>
          <w:szCs w:val="24"/>
        </w:rPr>
        <w:t xml:space="preserve"> i z teg</w:t>
      </w:r>
      <w:r>
        <w:rPr>
          <w:rFonts w:asciiTheme="minorHAnsi" w:hAnsiTheme="minorHAnsi"/>
          <w:sz w:val="24"/>
          <w:szCs w:val="24"/>
        </w:rPr>
        <w:t>o państwa.</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 świadczące usługi turystyczne powinny zapoznać się</w:t>
      </w:r>
      <w:r w:rsidR="00BE7466">
        <w:rPr>
          <w:rFonts w:asciiTheme="minorHAnsi" w:hAnsiTheme="minorHAnsi"/>
          <w:sz w:val="24"/>
          <w:szCs w:val="24"/>
        </w:rPr>
        <w:t xml:space="preserve"> z tym</w:t>
      </w:r>
      <w:r>
        <w:rPr>
          <w:rFonts w:asciiTheme="minorHAnsi" w:hAnsiTheme="minorHAnsi"/>
          <w:sz w:val="24"/>
          <w:szCs w:val="24"/>
        </w:rPr>
        <w:t>i zmianami</w:t>
      </w:r>
      <w:r w:rsidR="00BE7466">
        <w:rPr>
          <w:rFonts w:asciiTheme="minorHAnsi" w:hAnsiTheme="minorHAnsi"/>
          <w:sz w:val="24"/>
          <w:szCs w:val="24"/>
        </w:rPr>
        <w:t xml:space="preserve"> i ewe</w:t>
      </w:r>
      <w:r>
        <w:rPr>
          <w:rFonts w:asciiTheme="minorHAnsi" w:hAnsiTheme="minorHAnsi"/>
          <w:sz w:val="24"/>
          <w:szCs w:val="24"/>
        </w:rPr>
        <w:t xml:space="preserve">ntualnie odpowiednio dostosować do nich swoje procesy. </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lastRenderedPageBreak/>
        <w:t>Organy krajowe muszą zapewnić wystarczającą liczbę pracowników na przejściach granicznych,</w:t>
      </w:r>
      <w:r w:rsidR="00BE7466">
        <w:rPr>
          <w:rFonts w:asciiTheme="minorHAnsi" w:hAnsiTheme="minorHAnsi"/>
          <w:sz w:val="24"/>
          <w:szCs w:val="24"/>
        </w:rPr>
        <w:t xml:space="preserve"> a w raz</w:t>
      </w:r>
      <w:r>
        <w:rPr>
          <w:rFonts w:asciiTheme="minorHAnsi" w:hAnsiTheme="minorHAnsi"/>
          <w:sz w:val="24"/>
          <w:szCs w:val="24"/>
        </w:rPr>
        <w:t>ie potrzeby dostosować infrastrukturę. Powinny również zapewnić pasażerom</w:t>
      </w:r>
      <w:r w:rsidR="00BE7466">
        <w:rPr>
          <w:rFonts w:asciiTheme="minorHAnsi" w:hAnsiTheme="minorHAnsi"/>
          <w:sz w:val="24"/>
          <w:szCs w:val="24"/>
        </w:rPr>
        <w:t xml:space="preserve"> i pod</w:t>
      </w:r>
      <w:r>
        <w:rPr>
          <w:rFonts w:asciiTheme="minorHAnsi" w:hAnsiTheme="minorHAnsi"/>
          <w:sz w:val="24"/>
          <w:szCs w:val="24"/>
        </w:rPr>
        <w:t>różnym odpowiednie informacje</w:t>
      </w:r>
      <w:r w:rsidR="00BE7466">
        <w:rPr>
          <w:rFonts w:asciiTheme="minorHAnsi" w:hAnsiTheme="minorHAnsi"/>
          <w:sz w:val="24"/>
          <w:szCs w:val="24"/>
        </w:rPr>
        <w:t xml:space="preserve"> o wsz</w:t>
      </w:r>
      <w:r>
        <w:rPr>
          <w:rFonts w:asciiTheme="minorHAnsi" w:hAnsiTheme="minorHAnsi"/>
          <w:sz w:val="24"/>
          <w:szCs w:val="24"/>
        </w:rPr>
        <w:t>elkich zmianach</w:t>
      </w:r>
      <w:r w:rsidR="00BE7466">
        <w:rPr>
          <w:rFonts w:asciiTheme="minorHAnsi" w:hAnsiTheme="minorHAnsi"/>
          <w:sz w:val="24"/>
          <w:szCs w:val="24"/>
        </w:rPr>
        <w:t xml:space="preserve"> w ich</w:t>
      </w:r>
      <w:r>
        <w:rPr>
          <w:rFonts w:asciiTheme="minorHAnsi" w:hAnsiTheme="minorHAnsi"/>
          <w:sz w:val="24"/>
          <w:szCs w:val="24"/>
        </w:rPr>
        <w:t xml:space="preserve"> prawach</w:t>
      </w:r>
      <w:r w:rsidR="00BE7466">
        <w:rPr>
          <w:rFonts w:asciiTheme="minorHAnsi" w:hAnsiTheme="minorHAnsi"/>
          <w:sz w:val="24"/>
          <w:szCs w:val="24"/>
        </w:rPr>
        <w:t xml:space="preserve"> i obo</w:t>
      </w:r>
      <w:r>
        <w:rPr>
          <w:rFonts w:asciiTheme="minorHAnsi" w:hAnsiTheme="minorHAnsi"/>
          <w:sz w:val="24"/>
          <w:szCs w:val="24"/>
        </w:rPr>
        <w:t>wiązkach.</w:t>
      </w:r>
    </w:p>
    <w:p w:rsidR="005B5E63" w:rsidRDefault="00B858F1">
      <w:pPr>
        <w:pStyle w:val="Nagwek2"/>
      </w:pPr>
      <w:bookmarkStart w:id="30" w:name="_Toc46137013"/>
      <w:r>
        <w:t>Mobilność</w:t>
      </w:r>
      <w:r w:rsidR="00BE7466">
        <w:t xml:space="preserve"> i koo</w:t>
      </w:r>
      <w:r>
        <w:t>rdynacja zabezpieczenia społecznego</w:t>
      </w:r>
      <w:bookmarkEnd w:id="30"/>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obywatele Zjednoczonego Królestwa nadal korzystają ze swobodnego przepływu osób</w:t>
      </w:r>
      <w:r w:rsidR="00BE7466">
        <w:rPr>
          <w:rFonts w:asciiTheme="minorHAnsi" w:hAnsiTheme="minorHAnsi"/>
          <w:sz w:val="24"/>
          <w:szCs w:val="24"/>
        </w:rPr>
        <w:t xml:space="preserve"> w Uni</w:t>
      </w:r>
      <w:r>
        <w:rPr>
          <w:rFonts w:asciiTheme="minorHAnsi" w:hAnsiTheme="minorHAnsi"/>
          <w:sz w:val="24"/>
          <w:szCs w:val="24"/>
        </w:rPr>
        <w:t>i. Obywatele UE mogą również nadal korzystać</w:t>
      </w:r>
      <w:r w:rsidR="00BE7466">
        <w:rPr>
          <w:rFonts w:asciiTheme="minorHAnsi" w:hAnsiTheme="minorHAnsi"/>
          <w:sz w:val="24"/>
          <w:szCs w:val="24"/>
        </w:rPr>
        <w:t xml:space="preserve"> z pra</w:t>
      </w:r>
      <w:r>
        <w:rPr>
          <w:rFonts w:asciiTheme="minorHAnsi" w:hAnsiTheme="minorHAnsi"/>
          <w:sz w:val="24"/>
          <w:szCs w:val="24"/>
        </w:rPr>
        <w:t>wa do swobodnego przemieszczania się, aby wyjechać do pracy, studiować, rozpocząć działalność gospodarczą lub mieszkać</w:t>
      </w:r>
      <w:r w:rsidR="00BE7466">
        <w:rPr>
          <w:rFonts w:asciiTheme="minorHAnsi" w:hAnsiTheme="minorHAnsi"/>
          <w:sz w:val="24"/>
          <w:szCs w:val="24"/>
        </w:rPr>
        <w:t xml:space="preserve"> w Zje</w:t>
      </w:r>
      <w:r>
        <w:rPr>
          <w:rFonts w:asciiTheme="minorHAnsi" w:hAnsiTheme="minorHAnsi"/>
          <w:sz w:val="24"/>
          <w:szCs w:val="24"/>
        </w:rPr>
        <w:t>dnoczonym Królestwie. Zastosowanie mają również wszystkie unijne przepisy dotyczące koordynacji systemów zabezpieczenia społecznego</w:t>
      </w:r>
      <w:r w:rsidR="00BE7466">
        <w:rPr>
          <w:rFonts w:asciiTheme="minorHAnsi" w:hAnsiTheme="minorHAnsi"/>
          <w:sz w:val="24"/>
          <w:szCs w:val="24"/>
        </w:rPr>
        <w:t xml:space="preserve"> i zgo</w:t>
      </w:r>
      <w:r>
        <w:rPr>
          <w:rFonts w:asciiTheme="minorHAnsi" w:hAnsiTheme="minorHAnsi"/>
          <w:sz w:val="24"/>
          <w:szCs w:val="24"/>
        </w:rPr>
        <w:t>dnie</w:t>
      </w:r>
      <w:r w:rsidR="00BE7466">
        <w:rPr>
          <w:rFonts w:asciiTheme="minorHAnsi" w:hAnsiTheme="minorHAnsi"/>
          <w:sz w:val="24"/>
          <w:szCs w:val="24"/>
        </w:rPr>
        <w:t xml:space="preserve"> z war</w:t>
      </w:r>
      <w:r>
        <w:rPr>
          <w:rFonts w:asciiTheme="minorHAnsi" w:hAnsiTheme="minorHAnsi"/>
          <w:sz w:val="24"/>
          <w:szCs w:val="24"/>
        </w:rPr>
        <w:t>unkami umowy</w:t>
      </w:r>
      <w:r w:rsidR="00BE7466">
        <w:rPr>
          <w:rFonts w:asciiTheme="minorHAnsi" w:hAnsiTheme="minorHAnsi"/>
          <w:sz w:val="24"/>
          <w:szCs w:val="24"/>
        </w:rPr>
        <w:t xml:space="preserve"> o wys</w:t>
      </w:r>
      <w:r>
        <w:rPr>
          <w:rFonts w:asciiTheme="minorHAnsi" w:hAnsiTheme="minorHAnsi"/>
          <w:sz w:val="24"/>
          <w:szCs w:val="24"/>
        </w:rPr>
        <w:t>tąpieniu będą nadal miały zastosowanie,</w:t>
      </w:r>
      <w:r>
        <w:t xml:space="preserve"> </w:t>
      </w:r>
      <w:r>
        <w:rPr>
          <w:rFonts w:asciiTheme="minorHAnsi" w:hAnsiTheme="minorHAnsi"/>
          <w:sz w:val="24"/>
          <w:szCs w:val="24"/>
        </w:rPr>
        <w:t>nawet po zakończeniu okresu przejściowego, do osób, które przed upływem okresu przejściowego znajdowały się</w:t>
      </w:r>
      <w:r w:rsidR="00BE7466">
        <w:rPr>
          <w:rFonts w:asciiTheme="minorHAnsi" w:hAnsiTheme="minorHAnsi"/>
          <w:sz w:val="24"/>
          <w:szCs w:val="24"/>
        </w:rPr>
        <w:t xml:space="preserve"> w syt</w:t>
      </w:r>
      <w:r>
        <w:rPr>
          <w:rFonts w:asciiTheme="minorHAnsi" w:hAnsiTheme="minorHAnsi"/>
          <w:sz w:val="24"/>
          <w:szCs w:val="24"/>
        </w:rPr>
        <w:t>uacji transgranicznej obejmującej Zjednoczone Królestwo</w:t>
      </w:r>
      <w:r w:rsidR="00BE7466">
        <w:rPr>
          <w:rFonts w:asciiTheme="minorHAnsi" w:hAnsiTheme="minorHAnsi"/>
          <w:sz w:val="24"/>
          <w:szCs w:val="24"/>
        </w:rPr>
        <w:t xml:space="preserve"> i </w:t>
      </w:r>
      <w:r w:rsidR="00BE7466">
        <w:rPr>
          <w:rFonts w:asciiTheme="minorHAnsi" w:hAnsiTheme="minorHAnsi"/>
          <w:sz w:val="24"/>
        </w:rPr>
        <w:t>Uni</w:t>
      </w:r>
      <w:r>
        <w:rPr>
          <w:rFonts w:asciiTheme="minorHAnsi" w:hAnsiTheme="minorHAnsi"/>
          <w:sz w:val="24"/>
        </w:rPr>
        <w:t>ę Europejsk</w:t>
      </w:r>
      <w:r w:rsidRPr="00C43387">
        <w:rPr>
          <w:rFonts w:asciiTheme="minorHAnsi" w:hAnsiTheme="minorHAnsi"/>
          <w:sz w:val="24"/>
        </w:rPr>
        <w:t>ą</w:t>
      </w:r>
      <w:r w:rsidR="00C43387" w:rsidRPr="00C43387">
        <w:rPr>
          <w:rFonts w:asciiTheme="minorHAnsi" w:hAnsiTheme="minorHAnsi"/>
          <w:sz w:val="24"/>
        </w:rPr>
        <w:t xml:space="preserve"> </w:t>
      </w:r>
      <w:r w:rsidRPr="00C43387">
        <w:rPr>
          <w:rFonts w:asciiTheme="minorHAnsi" w:hAnsiTheme="minorHAnsi"/>
          <w:sz w:val="24"/>
          <w:szCs w:val="24"/>
        </w:rPr>
        <w:t>U</w:t>
      </w:r>
      <w:r>
        <w:rPr>
          <w:rFonts w:asciiTheme="minorHAnsi" w:hAnsiTheme="minorHAnsi"/>
          <w:sz w:val="24"/>
          <w:szCs w:val="24"/>
        </w:rPr>
        <w:t>mowa</w:t>
      </w:r>
      <w:r w:rsidR="00BE7466">
        <w:rPr>
          <w:rFonts w:asciiTheme="minorHAnsi" w:hAnsiTheme="minorHAnsi"/>
          <w:sz w:val="24"/>
          <w:szCs w:val="24"/>
        </w:rPr>
        <w:t xml:space="preserve"> o wys</w:t>
      </w:r>
      <w:r>
        <w:rPr>
          <w:rFonts w:asciiTheme="minorHAnsi" w:hAnsiTheme="minorHAnsi"/>
          <w:sz w:val="24"/>
          <w:szCs w:val="24"/>
        </w:rPr>
        <w:t>tąpieniu chroni również prawa pobytu</w:t>
      </w:r>
      <w:r w:rsidR="00BE7466">
        <w:rPr>
          <w:rFonts w:asciiTheme="minorHAnsi" w:hAnsiTheme="minorHAnsi"/>
          <w:sz w:val="24"/>
          <w:szCs w:val="24"/>
        </w:rPr>
        <w:t xml:space="preserve"> i pra</w:t>
      </w:r>
      <w:r>
        <w:rPr>
          <w:rFonts w:asciiTheme="minorHAnsi" w:hAnsiTheme="minorHAnsi"/>
          <w:sz w:val="24"/>
          <w:szCs w:val="24"/>
        </w:rPr>
        <w:t>cy obywateli UE legalnie przebywających</w:t>
      </w:r>
      <w:r w:rsidR="00BE7466">
        <w:rPr>
          <w:rFonts w:asciiTheme="minorHAnsi" w:hAnsiTheme="minorHAnsi"/>
          <w:sz w:val="24"/>
          <w:szCs w:val="24"/>
        </w:rPr>
        <w:t xml:space="preserve"> w Zje</w:t>
      </w:r>
      <w:r>
        <w:rPr>
          <w:rFonts w:asciiTheme="minorHAnsi" w:hAnsiTheme="minorHAnsi"/>
          <w:sz w:val="24"/>
          <w:szCs w:val="24"/>
        </w:rPr>
        <w:t>dnoczonym Królestwie oraz obywateli Zjednoczonego Królestwa legalnie przebywających</w:t>
      </w:r>
      <w:r w:rsidR="00BE7466">
        <w:rPr>
          <w:rFonts w:asciiTheme="minorHAnsi" w:hAnsiTheme="minorHAnsi"/>
          <w:sz w:val="24"/>
          <w:szCs w:val="24"/>
        </w:rPr>
        <w:t xml:space="preserve"> w pań</w:t>
      </w:r>
      <w:r>
        <w:rPr>
          <w:rFonts w:asciiTheme="minorHAnsi" w:hAnsiTheme="minorHAnsi"/>
          <w:sz w:val="24"/>
          <w:szCs w:val="24"/>
        </w:rPr>
        <w:t>stwie członkowskim UE</w:t>
      </w:r>
      <w:r w:rsidR="00BE7466">
        <w:rPr>
          <w:rFonts w:asciiTheme="minorHAnsi" w:hAnsiTheme="minorHAnsi"/>
          <w:sz w:val="24"/>
          <w:szCs w:val="24"/>
        </w:rPr>
        <w:t xml:space="preserve"> w dni</w:t>
      </w:r>
      <w:r>
        <w:rPr>
          <w:rFonts w:asciiTheme="minorHAnsi" w:hAnsiTheme="minorHAnsi"/>
          <w:sz w:val="24"/>
          <w:szCs w:val="24"/>
        </w:rPr>
        <w:t>u zakończenia okresu przejściowego</w:t>
      </w:r>
      <w:r>
        <w:t xml:space="preserve"> </w:t>
      </w:r>
      <w:r>
        <w:rPr>
          <w:rFonts w:asciiTheme="minorHAnsi" w:hAnsiTheme="minorHAnsi"/>
          <w:sz w:val="24"/>
          <w:szCs w:val="24"/>
        </w:rPr>
        <w:t>oraz członków ich rodzin</w:t>
      </w:r>
      <w:r>
        <w:rPr>
          <w:rStyle w:val="Odwoanieprzypisudolnego"/>
          <w:rFonts w:asciiTheme="minorHAnsi" w:hAnsiTheme="minorHAnsi" w:cstheme="minorHAnsi"/>
          <w:sz w:val="24"/>
          <w:szCs w:val="24"/>
        </w:rPr>
        <w:footnoteReference w:id="26"/>
      </w:r>
      <w:r>
        <w:t>.</w:t>
      </w:r>
      <w:r>
        <w:rPr>
          <w:rFonts w:asciiTheme="minorHAnsi" w:hAnsiTheme="minorHAnsi"/>
          <w:sz w:val="24"/>
          <w:szCs w:val="24"/>
        </w:rPr>
        <w:t xml:space="preserve"> </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kończy się swobodny przepływ osób między Unią Europejską</w:t>
      </w:r>
      <w:r w:rsidR="00BE7466">
        <w:rPr>
          <w:rFonts w:asciiTheme="minorHAnsi" w:hAnsiTheme="minorHAnsi"/>
          <w:sz w:val="24"/>
          <w:szCs w:val="24"/>
        </w:rPr>
        <w:t xml:space="preserve"> i Zje</w:t>
      </w:r>
      <w:r>
        <w:rPr>
          <w:rFonts w:asciiTheme="minorHAnsi" w:hAnsiTheme="minorHAnsi"/>
          <w:sz w:val="24"/>
          <w:szCs w:val="24"/>
        </w:rPr>
        <w:t>dnoczonym Królestwem. Będzie to miało reperkusje dla łatwości przemieszczania się wszystkich obywateli UE, którzy nie są beneficjentami umowy</w:t>
      </w:r>
      <w:r w:rsidR="00BE7466">
        <w:rPr>
          <w:rFonts w:asciiTheme="minorHAnsi" w:hAnsiTheme="minorHAnsi"/>
          <w:sz w:val="24"/>
          <w:szCs w:val="24"/>
        </w:rPr>
        <w:t xml:space="preserve"> o wys</w:t>
      </w:r>
      <w:r>
        <w:rPr>
          <w:rFonts w:asciiTheme="minorHAnsi" w:hAnsiTheme="minorHAnsi"/>
          <w:sz w:val="24"/>
          <w:szCs w:val="24"/>
        </w:rPr>
        <w:t>tąpieniu</w:t>
      </w:r>
      <w:r w:rsidR="00BE7466">
        <w:rPr>
          <w:rFonts w:asciiTheme="minorHAnsi" w:hAnsiTheme="minorHAnsi"/>
          <w:sz w:val="24"/>
          <w:szCs w:val="24"/>
        </w:rPr>
        <w:t xml:space="preserve"> i chc</w:t>
      </w:r>
      <w:r>
        <w:rPr>
          <w:rFonts w:asciiTheme="minorHAnsi" w:hAnsiTheme="minorHAnsi"/>
          <w:sz w:val="24"/>
          <w:szCs w:val="24"/>
        </w:rPr>
        <w:t>ą pozostać</w:t>
      </w:r>
      <w:r w:rsidR="00BE7466">
        <w:rPr>
          <w:rFonts w:asciiTheme="minorHAnsi" w:hAnsiTheme="minorHAnsi"/>
          <w:sz w:val="24"/>
          <w:szCs w:val="24"/>
        </w:rPr>
        <w:t xml:space="preserve"> w Zje</w:t>
      </w:r>
      <w:r>
        <w:rPr>
          <w:rFonts w:asciiTheme="minorHAnsi" w:hAnsiTheme="minorHAnsi"/>
          <w:sz w:val="24"/>
          <w:szCs w:val="24"/>
        </w:rPr>
        <w:t>dnoczonym Królestwie przez dłuższy okres, np. studentów, pracowników, emerytów lub członków ich rodzin. Wszystkie ich przemieszczenia do Zjednoczonego Królestwa będą podlegały brytyjskiemu prawu dotyczącemu cudzoziemców. Przedsiębiorstwa</w:t>
      </w:r>
      <w:r w:rsidR="00BE7466">
        <w:rPr>
          <w:rFonts w:asciiTheme="minorHAnsi" w:hAnsiTheme="minorHAnsi"/>
          <w:sz w:val="24"/>
          <w:szCs w:val="24"/>
        </w:rPr>
        <w:t xml:space="preserve"> w Zje</w:t>
      </w:r>
      <w:r>
        <w:rPr>
          <w:rFonts w:asciiTheme="minorHAnsi" w:hAnsiTheme="minorHAnsi"/>
          <w:sz w:val="24"/>
          <w:szCs w:val="24"/>
        </w:rPr>
        <w:t>dnoczonym Królestwie, które chcą zatrudnić obywateli UE, będą musiały przestrzegać brytyjskich przepisów, które nie mają obecnie zastosowania</w:t>
      </w:r>
      <w:r w:rsidR="00BE7466">
        <w:rPr>
          <w:rFonts w:asciiTheme="minorHAnsi" w:hAnsiTheme="minorHAnsi"/>
          <w:sz w:val="24"/>
          <w:szCs w:val="24"/>
        </w:rPr>
        <w:t xml:space="preserve"> w ram</w:t>
      </w:r>
      <w:r>
        <w:rPr>
          <w:rFonts w:asciiTheme="minorHAnsi" w:hAnsiTheme="minorHAnsi"/>
          <w:sz w:val="24"/>
          <w:szCs w:val="24"/>
        </w:rPr>
        <w:t>ach systemu unijnego. Wszystkie przepływy obywateli Zjednoczonego Królestwa, którzy nie są beneficjentami umowy</w:t>
      </w:r>
      <w:r w:rsidR="00BE7466">
        <w:rPr>
          <w:rFonts w:asciiTheme="minorHAnsi" w:hAnsiTheme="minorHAnsi"/>
          <w:sz w:val="24"/>
          <w:szCs w:val="24"/>
        </w:rPr>
        <w:t xml:space="preserve"> o wys</w:t>
      </w:r>
      <w:r>
        <w:rPr>
          <w:rFonts w:asciiTheme="minorHAnsi" w:hAnsiTheme="minorHAnsi"/>
          <w:sz w:val="24"/>
          <w:szCs w:val="24"/>
        </w:rPr>
        <w:t>tąpieniu, do UE będą podlegały przepisom migracyjnym Unii</w:t>
      </w:r>
      <w:r w:rsidR="00BE7466">
        <w:rPr>
          <w:rFonts w:asciiTheme="minorHAnsi" w:hAnsiTheme="minorHAnsi"/>
          <w:sz w:val="24"/>
          <w:szCs w:val="24"/>
        </w:rPr>
        <w:t xml:space="preserve"> i pań</w:t>
      </w:r>
      <w:r>
        <w:rPr>
          <w:rFonts w:asciiTheme="minorHAnsi" w:hAnsiTheme="minorHAnsi"/>
          <w:sz w:val="24"/>
          <w:szCs w:val="24"/>
        </w:rPr>
        <w:t>stw członkowskich. Przedsiębiorstwa UE, które chcą zatrudnić obywateli Zjednoczonego Królestwa, będą musiały przestrzegać odpowiednich przepisów dotyczących obywateli państw trzecich obowiązujących</w:t>
      </w:r>
      <w:r w:rsidR="00BE7466">
        <w:rPr>
          <w:rFonts w:asciiTheme="minorHAnsi" w:hAnsiTheme="minorHAnsi"/>
          <w:sz w:val="24"/>
          <w:szCs w:val="24"/>
        </w:rPr>
        <w:t xml:space="preserve"> w Uni</w:t>
      </w:r>
      <w:r>
        <w:rPr>
          <w:rFonts w:asciiTheme="minorHAnsi" w:hAnsiTheme="minorHAnsi"/>
          <w:sz w:val="24"/>
          <w:szCs w:val="24"/>
        </w:rPr>
        <w:t>i</w:t>
      </w:r>
      <w:r w:rsidR="00BE7466">
        <w:rPr>
          <w:rFonts w:asciiTheme="minorHAnsi" w:hAnsiTheme="minorHAnsi"/>
          <w:sz w:val="24"/>
          <w:szCs w:val="24"/>
        </w:rPr>
        <w:t xml:space="preserve"> i w pos</w:t>
      </w:r>
      <w:r>
        <w:rPr>
          <w:rFonts w:asciiTheme="minorHAnsi" w:hAnsiTheme="minorHAnsi"/>
          <w:sz w:val="24"/>
          <w:szCs w:val="24"/>
        </w:rPr>
        <w:t xml:space="preserve">zczególnych państwach członkowskich.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przypadku tych obywateli Unii, którzy będą korzystać</w:t>
      </w:r>
      <w:r w:rsidR="00BE7466">
        <w:rPr>
          <w:rFonts w:asciiTheme="minorHAnsi" w:hAnsiTheme="minorHAnsi"/>
          <w:sz w:val="24"/>
          <w:szCs w:val="24"/>
        </w:rPr>
        <w:t xml:space="preserve"> z pew</w:t>
      </w:r>
      <w:r>
        <w:rPr>
          <w:rFonts w:asciiTheme="minorHAnsi" w:hAnsiTheme="minorHAnsi"/>
          <w:sz w:val="24"/>
          <w:szCs w:val="24"/>
        </w:rPr>
        <w:t>nej formy mobilności</w:t>
      </w:r>
      <w:r w:rsidR="00BE7466">
        <w:rPr>
          <w:rFonts w:asciiTheme="minorHAnsi" w:hAnsiTheme="minorHAnsi"/>
          <w:sz w:val="24"/>
          <w:szCs w:val="24"/>
        </w:rPr>
        <w:t xml:space="preserve"> w ram</w:t>
      </w:r>
      <w:r>
        <w:rPr>
          <w:rFonts w:asciiTheme="minorHAnsi" w:hAnsiTheme="minorHAnsi"/>
          <w:sz w:val="24"/>
          <w:szCs w:val="24"/>
        </w:rPr>
        <w:t>ach nowego systemu Zjednoczonego Królestwa, obecna koordynacja systemów zabezpieczenia społecznego przewidziana</w:t>
      </w:r>
      <w:r w:rsidR="00BE7466">
        <w:rPr>
          <w:rFonts w:asciiTheme="minorHAnsi" w:hAnsiTheme="minorHAnsi"/>
          <w:sz w:val="24"/>
          <w:szCs w:val="24"/>
        </w:rPr>
        <w:t xml:space="preserve"> w roz</w:t>
      </w:r>
      <w:r>
        <w:rPr>
          <w:rFonts w:asciiTheme="minorHAnsi" w:hAnsiTheme="minorHAnsi"/>
          <w:sz w:val="24"/>
          <w:szCs w:val="24"/>
        </w:rPr>
        <w:t xml:space="preserve">porządzeniach unijnych przestanie istnieć. To samo będzie dotyczyło obywateli Zjednoczonego Królestwa w UE, chyba że są oni objęci unijnymi przepisami szczególnymi dotyczącymi obywateli państw trzecich. Nie będzie istniała </w:t>
      </w:r>
      <w:r>
        <w:rPr>
          <w:rFonts w:asciiTheme="minorHAnsi" w:hAnsiTheme="minorHAnsi"/>
          <w:sz w:val="24"/>
          <w:szCs w:val="24"/>
        </w:rPr>
        <w:lastRenderedPageBreak/>
        <w:t>tak szeroka transgraniczna ochrona</w:t>
      </w:r>
      <w:r w:rsidR="00BE7466">
        <w:rPr>
          <w:rFonts w:asciiTheme="minorHAnsi" w:hAnsiTheme="minorHAnsi"/>
          <w:sz w:val="24"/>
          <w:szCs w:val="24"/>
        </w:rPr>
        <w:t xml:space="preserve"> w zak</w:t>
      </w:r>
      <w:r>
        <w:rPr>
          <w:rFonts w:asciiTheme="minorHAnsi" w:hAnsiTheme="minorHAnsi"/>
          <w:sz w:val="24"/>
          <w:szCs w:val="24"/>
        </w:rPr>
        <w:t>resie zabezpieczenia społecznego, jaka obowiązuje na podstawie obecnych przepisów unijnych, ponieważ przepisy unijne nie będą już miały zastosowania. Nawet</w:t>
      </w:r>
      <w:r w:rsidR="00BE7466">
        <w:rPr>
          <w:rFonts w:asciiTheme="minorHAnsi" w:hAnsiTheme="minorHAnsi"/>
          <w:sz w:val="24"/>
          <w:szCs w:val="24"/>
        </w:rPr>
        <w:t xml:space="preserve"> w ram</w:t>
      </w:r>
      <w:r>
        <w:rPr>
          <w:rFonts w:asciiTheme="minorHAnsi" w:hAnsiTheme="minorHAnsi"/>
          <w:sz w:val="24"/>
          <w:szCs w:val="24"/>
        </w:rPr>
        <w:t>ach przyszłej umowy</w:t>
      </w:r>
      <w:r w:rsidR="00BE7466">
        <w:rPr>
          <w:rFonts w:asciiTheme="minorHAnsi" w:hAnsiTheme="minorHAnsi"/>
          <w:sz w:val="24"/>
          <w:szCs w:val="24"/>
        </w:rPr>
        <w:t xml:space="preserve"> o par</w:t>
      </w:r>
      <w:r>
        <w:rPr>
          <w:rFonts w:asciiTheme="minorHAnsi" w:hAnsiTheme="minorHAnsi"/>
          <w:sz w:val="24"/>
          <w:szCs w:val="24"/>
        </w:rPr>
        <w:t>tnerstwie ze Zjednoczonym Królestwem można by potencjalnie zapewnić tylko niektóre uprawnienia</w:t>
      </w:r>
      <w:r w:rsidR="00BE7466">
        <w:rPr>
          <w:rFonts w:asciiTheme="minorHAnsi" w:hAnsiTheme="minorHAnsi"/>
          <w:sz w:val="24"/>
          <w:szCs w:val="24"/>
        </w:rPr>
        <w:t xml:space="preserve"> w zak</w:t>
      </w:r>
      <w:r>
        <w:rPr>
          <w:rFonts w:asciiTheme="minorHAnsi" w:hAnsiTheme="minorHAnsi"/>
          <w:sz w:val="24"/>
          <w:szCs w:val="24"/>
        </w:rPr>
        <w:t>resie zabezpieczenia społecznego. Dokładne warunki, które będą miały zastosowanie, zależą od wyniku negocjacji między Unią Europejską</w:t>
      </w:r>
      <w:r w:rsidR="00BE7466">
        <w:rPr>
          <w:rFonts w:asciiTheme="minorHAnsi" w:hAnsiTheme="minorHAnsi"/>
          <w:sz w:val="24"/>
          <w:szCs w:val="24"/>
        </w:rPr>
        <w:t xml:space="preserve"> a Zje</w:t>
      </w:r>
      <w:r>
        <w:rPr>
          <w:rFonts w:asciiTheme="minorHAnsi" w:hAnsiTheme="minorHAnsi"/>
          <w:sz w:val="24"/>
          <w:szCs w:val="24"/>
        </w:rPr>
        <w:t>dnoczonym Królestwem</w:t>
      </w:r>
      <w:r w:rsidR="00BE7466">
        <w:rPr>
          <w:rFonts w:asciiTheme="minorHAnsi" w:hAnsiTheme="minorHAnsi"/>
          <w:sz w:val="24"/>
          <w:szCs w:val="24"/>
        </w:rPr>
        <w:t xml:space="preserve"> w spr</w:t>
      </w:r>
      <w:r>
        <w:rPr>
          <w:rFonts w:asciiTheme="minorHAnsi" w:hAnsiTheme="minorHAnsi"/>
          <w:sz w:val="24"/>
          <w:szCs w:val="24"/>
        </w:rPr>
        <w:t>awie przyszłego partnerstwa, na przykład</w:t>
      </w:r>
      <w:r w:rsidR="00BE7466">
        <w:rPr>
          <w:rFonts w:asciiTheme="minorHAnsi" w:hAnsiTheme="minorHAnsi"/>
          <w:sz w:val="24"/>
          <w:szCs w:val="24"/>
        </w:rPr>
        <w:t xml:space="preserve"> w spr</w:t>
      </w:r>
      <w:r>
        <w:rPr>
          <w:rFonts w:asciiTheme="minorHAnsi" w:hAnsiTheme="minorHAnsi"/>
          <w:sz w:val="24"/>
          <w:szCs w:val="24"/>
        </w:rPr>
        <w:t>awie kosztów opieki zdrowotnej lub uprawnień emerytalnych.</w:t>
      </w:r>
    </w:p>
    <w:p w:rsidR="005B5E63" w:rsidRDefault="00B858F1">
      <w:pPr>
        <w:pStyle w:val="Nagwek2"/>
        <w:rPr>
          <w:rFonts w:cstheme="minorHAnsi"/>
        </w:rPr>
      </w:pPr>
      <w:bookmarkStart w:id="31" w:name="_Toc46137014"/>
      <w:r>
        <w:t>Prawo spółek</w:t>
      </w:r>
      <w:r w:rsidR="00BE7466">
        <w:t xml:space="preserve"> i pra</w:t>
      </w:r>
      <w:r>
        <w:t>wo cywilne</w:t>
      </w:r>
      <w:bookmarkEnd w:id="31"/>
    </w:p>
    <w:p w:rsidR="005B5E63" w:rsidRDefault="00B858F1">
      <w:pPr>
        <w:pStyle w:val="Nagwek3"/>
        <w:spacing w:before="240"/>
      </w:pPr>
      <w:bookmarkStart w:id="32" w:name="_Toc46137015"/>
      <w:r>
        <w:t>F.1. Spółki zarejestrowane</w:t>
      </w:r>
      <w:r w:rsidR="00BE7466">
        <w:t xml:space="preserve"> w Zje</w:t>
      </w:r>
      <w:r>
        <w:t>dnoczonym Królestwie</w:t>
      </w:r>
      <w:bookmarkEnd w:id="32"/>
      <w: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który obejmuje podstawową swobodę przedsiębiorczości</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obecnie spółka może być zarejestrowana</w:t>
      </w:r>
      <w:r w:rsidR="00BE7466">
        <w:rPr>
          <w:rFonts w:asciiTheme="minorHAnsi" w:hAnsiTheme="minorHAnsi"/>
          <w:sz w:val="24"/>
          <w:szCs w:val="24"/>
        </w:rPr>
        <w:t xml:space="preserve"> w Zje</w:t>
      </w:r>
      <w:r>
        <w:rPr>
          <w:rFonts w:asciiTheme="minorHAnsi" w:hAnsiTheme="minorHAnsi"/>
          <w:sz w:val="24"/>
          <w:szCs w:val="24"/>
        </w:rPr>
        <w:t>dnoczonym Królestwie,</w:t>
      </w:r>
      <w:r w:rsidR="00BE7466">
        <w:rPr>
          <w:rFonts w:asciiTheme="minorHAnsi" w:hAnsiTheme="minorHAnsi"/>
          <w:sz w:val="24"/>
          <w:szCs w:val="24"/>
        </w:rPr>
        <w:t xml:space="preserve"> a jed</w:t>
      </w:r>
      <w:r>
        <w:rPr>
          <w:rFonts w:asciiTheme="minorHAnsi" w:hAnsiTheme="minorHAnsi"/>
          <w:sz w:val="24"/>
          <w:szCs w:val="24"/>
        </w:rPr>
        <w:t>nocześnie mieć siedzibę zarząd lub główne miejsce prowadzenia działalności</w:t>
      </w:r>
      <w:r w:rsidR="00BE7466">
        <w:rPr>
          <w:rFonts w:asciiTheme="minorHAnsi" w:hAnsiTheme="minorHAnsi"/>
          <w:sz w:val="24"/>
          <w:szCs w:val="24"/>
        </w:rPr>
        <w:t xml:space="preserve"> w pań</w:t>
      </w:r>
      <w:r>
        <w:rPr>
          <w:rFonts w:asciiTheme="minorHAnsi" w:hAnsiTheme="minorHAnsi"/>
          <w:sz w:val="24"/>
          <w:szCs w:val="24"/>
        </w:rPr>
        <w:t>stwie członkowskim UE.</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spółki</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Zje</w:t>
      </w:r>
      <w:r>
        <w:rPr>
          <w:rFonts w:asciiTheme="minorHAnsi" w:hAnsiTheme="minorHAnsi"/>
          <w:sz w:val="24"/>
          <w:szCs w:val="24"/>
        </w:rPr>
        <w:t>dnoczonym Królestwie staną się spółkami</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pań</w:t>
      </w:r>
      <w:r>
        <w:rPr>
          <w:rFonts w:asciiTheme="minorHAnsi" w:hAnsiTheme="minorHAnsi"/>
          <w:sz w:val="24"/>
          <w:szCs w:val="24"/>
        </w:rPr>
        <w:t>stwach trzecich</w:t>
      </w:r>
      <w:r w:rsidR="00BE7466">
        <w:rPr>
          <w:rFonts w:asciiTheme="minorHAnsi" w:hAnsiTheme="minorHAnsi"/>
          <w:sz w:val="24"/>
          <w:szCs w:val="24"/>
        </w:rPr>
        <w:t xml:space="preserve"> i nie</w:t>
      </w:r>
      <w:r>
        <w:rPr>
          <w:rFonts w:asciiTheme="minorHAnsi" w:hAnsiTheme="minorHAnsi"/>
          <w:sz w:val="24"/>
          <w:szCs w:val="24"/>
        </w:rPr>
        <w:t xml:space="preserve"> będą automatycznie uznawane na podstawie </w:t>
      </w:r>
      <w:r w:rsidRPr="00C43387">
        <w:rPr>
          <w:rFonts w:asciiTheme="minorHAnsi" w:hAnsiTheme="minorHAnsi"/>
          <w:sz w:val="24"/>
          <w:szCs w:val="24"/>
        </w:rPr>
        <w:t>art.</w:t>
      </w:r>
      <w:r w:rsidR="00C43387" w:rsidRPr="00C43387">
        <w:rPr>
          <w:rFonts w:asciiTheme="minorHAnsi" w:hAnsiTheme="minorHAnsi"/>
          <w:sz w:val="24"/>
          <w:szCs w:val="24"/>
        </w:rPr>
        <w:t> </w:t>
      </w:r>
      <w:r w:rsidRPr="00C43387">
        <w:rPr>
          <w:rFonts w:asciiTheme="minorHAnsi" w:hAnsiTheme="minorHAnsi"/>
          <w:sz w:val="24"/>
          <w:szCs w:val="24"/>
        </w:rPr>
        <w:t>5</w:t>
      </w:r>
      <w:r>
        <w:rPr>
          <w:rFonts w:asciiTheme="minorHAnsi" w:hAnsiTheme="minorHAnsi"/>
          <w:sz w:val="24"/>
          <w:szCs w:val="24"/>
        </w:rPr>
        <w:t>4 TFUE. Ich uznanie będzie podlegało przepisom prawa krajowego dotyczącym spółek</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pań</w:t>
      </w:r>
      <w:r>
        <w:rPr>
          <w:rFonts w:asciiTheme="minorHAnsi" w:hAnsiTheme="minorHAnsi"/>
          <w:sz w:val="24"/>
          <w:szCs w:val="24"/>
        </w:rPr>
        <w:t xml:space="preserve">stwach trzecich. </w:t>
      </w:r>
    </w:p>
    <w:p w:rsidR="005B5E63" w:rsidRDefault="00B858F1">
      <w:pPr>
        <w:jc w:val="both"/>
        <w:rPr>
          <w:rFonts w:asciiTheme="minorHAnsi" w:hAnsiTheme="minorHAnsi" w:cstheme="minorHAnsi"/>
          <w:sz w:val="24"/>
          <w:szCs w:val="24"/>
        </w:rPr>
      </w:pPr>
      <w:r>
        <w:rPr>
          <w:rFonts w:asciiTheme="minorHAnsi" w:hAnsiTheme="minorHAnsi"/>
          <w:sz w:val="24"/>
          <w:szCs w:val="24"/>
        </w:rPr>
        <w:t>Oddziały spółek</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Zje</w:t>
      </w:r>
      <w:r>
        <w:rPr>
          <w:rFonts w:asciiTheme="minorHAnsi" w:hAnsiTheme="minorHAnsi"/>
          <w:sz w:val="24"/>
          <w:szCs w:val="24"/>
        </w:rPr>
        <w:t>dnoczonym Królestwie</w:t>
      </w:r>
      <w:r w:rsidR="00BE7466">
        <w:rPr>
          <w:rFonts w:asciiTheme="minorHAnsi" w:hAnsiTheme="minorHAnsi"/>
          <w:sz w:val="24"/>
          <w:szCs w:val="24"/>
        </w:rPr>
        <w:t xml:space="preserve"> w pań</w:t>
      </w:r>
      <w:r>
        <w:rPr>
          <w:rFonts w:asciiTheme="minorHAnsi" w:hAnsiTheme="minorHAnsi"/>
          <w:sz w:val="24"/>
          <w:szCs w:val="24"/>
        </w:rPr>
        <w:t>stwach członkowskich UE będą oddziałami spółek</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pań</w:t>
      </w:r>
      <w:r>
        <w:rPr>
          <w:rFonts w:asciiTheme="minorHAnsi" w:hAnsiTheme="minorHAnsi"/>
          <w:sz w:val="24"/>
          <w:szCs w:val="24"/>
        </w:rPr>
        <w:t>stwach trzecich. Spółki zależne przedsiębiorstw Zjednoczonego Królestwa</w:t>
      </w:r>
      <w:r w:rsidR="00BE7466">
        <w:rPr>
          <w:rFonts w:asciiTheme="minorHAnsi" w:hAnsiTheme="minorHAnsi"/>
          <w:sz w:val="24"/>
          <w:szCs w:val="24"/>
        </w:rPr>
        <w:t xml:space="preserve"> w Uni</w:t>
      </w:r>
      <w:r>
        <w:rPr>
          <w:rFonts w:asciiTheme="minorHAnsi" w:hAnsiTheme="minorHAnsi"/>
          <w:sz w:val="24"/>
          <w:szCs w:val="24"/>
        </w:rPr>
        <w:t>i są zasadniczo przedsiębiorstwami unijnymi</w:t>
      </w:r>
      <w:r w:rsidR="00BE7466">
        <w:rPr>
          <w:rFonts w:asciiTheme="minorHAnsi" w:hAnsiTheme="minorHAnsi"/>
          <w:sz w:val="24"/>
          <w:szCs w:val="24"/>
        </w:rPr>
        <w:t xml:space="preserve"> i będ</w:t>
      </w:r>
      <w:r>
        <w:rPr>
          <w:rFonts w:asciiTheme="minorHAnsi" w:hAnsiTheme="minorHAnsi"/>
          <w:sz w:val="24"/>
          <w:szCs w:val="24"/>
        </w:rPr>
        <w:t>ą nadal podlegać wszystkim odpowiednim przepisom unijnym</w:t>
      </w:r>
      <w:r w:rsidR="00BE7466">
        <w:rPr>
          <w:rFonts w:asciiTheme="minorHAnsi" w:hAnsiTheme="minorHAnsi"/>
          <w:sz w:val="24"/>
          <w:szCs w:val="24"/>
        </w:rPr>
        <w:t xml:space="preserve"> i kra</w:t>
      </w:r>
      <w:r>
        <w:rPr>
          <w:rFonts w:asciiTheme="minorHAnsi" w:hAnsiTheme="minorHAnsi"/>
          <w:sz w:val="24"/>
          <w:szCs w:val="24"/>
        </w:rPr>
        <w:t>jowym.</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W przypadku gdy spółka</w:t>
      </w:r>
      <w:r w:rsidR="00BE7466">
        <w:rPr>
          <w:rFonts w:asciiTheme="minorHAnsi" w:hAnsiTheme="minorHAnsi"/>
          <w:sz w:val="24"/>
          <w:szCs w:val="24"/>
        </w:rPr>
        <w:t xml:space="preserve"> z sie</w:t>
      </w:r>
      <w:r>
        <w:rPr>
          <w:rFonts w:asciiTheme="minorHAnsi" w:hAnsiTheme="minorHAnsi"/>
          <w:sz w:val="24"/>
          <w:szCs w:val="24"/>
        </w:rPr>
        <w:t>dzibą</w:t>
      </w:r>
      <w:r w:rsidR="00BE7466">
        <w:rPr>
          <w:rFonts w:asciiTheme="minorHAnsi" w:hAnsiTheme="minorHAnsi"/>
          <w:sz w:val="24"/>
          <w:szCs w:val="24"/>
        </w:rPr>
        <w:t xml:space="preserve"> w Zje</w:t>
      </w:r>
      <w:r>
        <w:rPr>
          <w:rFonts w:asciiTheme="minorHAnsi" w:hAnsiTheme="minorHAnsi"/>
          <w:sz w:val="24"/>
          <w:szCs w:val="24"/>
        </w:rPr>
        <w:t>dnoczonym Królestwie będzie chciała zostać spółką unijną, powinna podjąć wszelkie niezbędne kroki</w:t>
      </w:r>
      <w:r w:rsidR="00BE7466">
        <w:rPr>
          <w:rFonts w:asciiTheme="minorHAnsi" w:hAnsiTheme="minorHAnsi"/>
          <w:sz w:val="24"/>
          <w:szCs w:val="24"/>
        </w:rPr>
        <w:t xml:space="preserve"> w cel</w:t>
      </w:r>
      <w:r>
        <w:rPr>
          <w:rFonts w:asciiTheme="minorHAnsi" w:hAnsiTheme="minorHAnsi"/>
          <w:sz w:val="24"/>
          <w:szCs w:val="24"/>
        </w:rPr>
        <w:t>u zarejestrowania siedziby</w:t>
      </w:r>
      <w:r w:rsidR="00BE7466">
        <w:rPr>
          <w:rFonts w:asciiTheme="minorHAnsi" w:hAnsiTheme="minorHAnsi"/>
          <w:sz w:val="24"/>
          <w:szCs w:val="24"/>
        </w:rPr>
        <w:t xml:space="preserve"> w jed</w:t>
      </w:r>
      <w:r>
        <w:rPr>
          <w:rFonts w:asciiTheme="minorHAnsi" w:hAnsiTheme="minorHAnsi"/>
          <w:sz w:val="24"/>
          <w:szCs w:val="24"/>
        </w:rPr>
        <w:t>nym</w:t>
      </w:r>
      <w:r w:rsidR="00BE7466">
        <w:rPr>
          <w:rFonts w:asciiTheme="minorHAnsi" w:hAnsiTheme="minorHAnsi"/>
          <w:sz w:val="24"/>
          <w:szCs w:val="24"/>
        </w:rPr>
        <w:t xml:space="preserve"> z pań</w:t>
      </w:r>
      <w:r>
        <w:rPr>
          <w:rFonts w:asciiTheme="minorHAnsi" w:hAnsiTheme="minorHAnsi"/>
          <w:sz w:val="24"/>
          <w:szCs w:val="24"/>
        </w:rPr>
        <w:t xml:space="preserve">stw członkowskich UE. </w:t>
      </w:r>
    </w:p>
    <w:p w:rsidR="005B5E63" w:rsidRDefault="00B858F1">
      <w:pPr>
        <w:pStyle w:val="Nagwek3"/>
        <w:rPr>
          <w:highlight w:val="yellow"/>
        </w:rPr>
      </w:pPr>
      <w:bookmarkStart w:id="33" w:name="_Toc46137016"/>
      <w:r>
        <w:t>F.2. Umowny wybór jurysdykcji</w:t>
      </w:r>
      <w:bookmarkEnd w:id="33"/>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ele</w:t>
      </w:r>
      <w:r>
        <w:rPr>
          <w:rFonts w:asciiTheme="minorHAnsi" w:hAnsiTheme="minorHAnsi"/>
          <w:sz w:val="24"/>
          <w:szCs w:val="24"/>
        </w:rPr>
        <w:t>mentach europejskiej przestrzeni sądowej</w:t>
      </w:r>
      <w:r w:rsidR="00BE7466">
        <w:rPr>
          <w:rFonts w:asciiTheme="minorHAnsi" w:hAnsiTheme="minorHAnsi"/>
          <w:sz w:val="24"/>
          <w:szCs w:val="24"/>
        </w:rPr>
        <w:t xml:space="preserve"> w spr</w:t>
      </w:r>
      <w:r>
        <w:rPr>
          <w:rFonts w:asciiTheme="minorHAnsi" w:hAnsiTheme="minorHAnsi"/>
          <w:sz w:val="24"/>
          <w:szCs w:val="24"/>
        </w:rPr>
        <w:t>awach cywilnych</w:t>
      </w:r>
      <w:r>
        <w:rPr>
          <w:rStyle w:val="Odwoanieprzypisudolnego"/>
          <w:rFonts w:asciiTheme="minorHAnsi" w:hAnsiTheme="minorHAnsi" w:cstheme="minorHAnsi"/>
          <w:sz w:val="24"/>
          <w:szCs w:val="24"/>
        </w:rPr>
        <w:footnoteReference w:id="27"/>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obecnie możliwe jest szybkie wykonywanie</w:t>
      </w:r>
      <w:r w:rsidR="00BE7466">
        <w:rPr>
          <w:rFonts w:asciiTheme="minorHAnsi" w:hAnsiTheme="minorHAnsi"/>
          <w:sz w:val="24"/>
          <w:szCs w:val="24"/>
        </w:rPr>
        <w:t xml:space="preserve"> w Uni</w:t>
      </w:r>
      <w:r>
        <w:rPr>
          <w:rFonts w:asciiTheme="minorHAnsi" w:hAnsiTheme="minorHAnsi"/>
          <w:sz w:val="24"/>
          <w:szCs w:val="24"/>
        </w:rPr>
        <w:t>i Europejskiej orzeczeń sądowych</w:t>
      </w:r>
      <w:r w:rsidR="00BE7466">
        <w:rPr>
          <w:rFonts w:asciiTheme="minorHAnsi" w:hAnsiTheme="minorHAnsi"/>
          <w:sz w:val="24"/>
          <w:szCs w:val="24"/>
        </w:rPr>
        <w:t xml:space="preserve"> w spr</w:t>
      </w:r>
      <w:r>
        <w:rPr>
          <w:rFonts w:asciiTheme="minorHAnsi" w:hAnsiTheme="minorHAnsi"/>
          <w:sz w:val="24"/>
          <w:szCs w:val="24"/>
        </w:rPr>
        <w:t>awach cywilnych</w:t>
      </w:r>
      <w:r w:rsidR="00BE7466">
        <w:rPr>
          <w:rFonts w:asciiTheme="minorHAnsi" w:hAnsiTheme="minorHAnsi"/>
          <w:sz w:val="24"/>
          <w:szCs w:val="24"/>
        </w:rPr>
        <w:t xml:space="preserve"> i han</w:t>
      </w:r>
      <w:r>
        <w:rPr>
          <w:rFonts w:asciiTheme="minorHAnsi" w:hAnsiTheme="minorHAnsi"/>
          <w:sz w:val="24"/>
          <w:szCs w:val="24"/>
        </w:rPr>
        <w:t xml:space="preserve">dlowych </w:t>
      </w:r>
      <w:r>
        <w:rPr>
          <w:rFonts w:asciiTheme="minorHAnsi" w:hAnsiTheme="minorHAnsi"/>
          <w:sz w:val="24"/>
          <w:szCs w:val="24"/>
        </w:rPr>
        <w:lastRenderedPageBreak/>
        <w:t>wydawanych przez sąd Zjednoczonego Królestwa</w:t>
      </w:r>
      <w:r w:rsidR="00BE7466">
        <w:rPr>
          <w:rFonts w:asciiTheme="minorHAnsi" w:hAnsiTheme="minorHAnsi"/>
          <w:sz w:val="24"/>
          <w:szCs w:val="24"/>
        </w:rPr>
        <w:t>. W pra</w:t>
      </w:r>
      <w:r>
        <w:rPr>
          <w:rFonts w:asciiTheme="minorHAnsi" w:hAnsiTheme="minorHAnsi"/>
          <w:sz w:val="24"/>
          <w:szCs w:val="24"/>
        </w:rPr>
        <w:t>ktyce</w:t>
      </w:r>
      <w:r w:rsidR="00BE7466">
        <w:rPr>
          <w:rFonts w:asciiTheme="minorHAnsi" w:hAnsiTheme="minorHAnsi"/>
          <w:sz w:val="24"/>
          <w:szCs w:val="24"/>
        </w:rPr>
        <w:t xml:space="preserve"> w umo</w:t>
      </w:r>
      <w:r>
        <w:rPr>
          <w:rFonts w:asciiTheme="minorHAnsi" w:hAnsiTheme="minorHAnsi"/>
          <w:sz w:val="24"/>
          <w:szCs w:val="24"/>
        </w:rPr>
        <w:t>wach handlowych często ustanawia się jurysdykcję Zjednoczonego Królestwa dla sporów sądowych.</w:t>
      </w:r>
    </w:p>
    <w:p w:rsidR="005B5E63" w:rsidRDefault="00B858F1">
      <w:pPr>
        <w:jc w:val="both"/>
        <w:rPr>
          <w:rFonts w:asciiTheme="minorHAnsi" w:hAnsiTheme="minorHAnsi" w:cstheme="minorHAnsi"/>
          <w:b/>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przepisy unijne ułatwiające transgraniczne uznawanie</w:t>
      </w:r>
      <w:r w:rsidR="00BE7466">
        <w:rPr>
          <w:rFonts w:asciiTheme="minorHAnsi" w:hAnsiTheme="minorHAnsi"/>
          <w:sz w:val="24"/>
          <w:szCs w:val="24"/>
        </w:rPr>
        <w:t xml:space="preserve"> i wyk</w:t>
      </w:r>
      <w:r>
        <w:rPr>
          <w:rFonts w:asciiTheme="minorHAnsi" w:hAnsiTheme="minorHAnsi"/>
          <w:sz w:val="24"/>
          <w:szCs w:val="24"/>
        </w:rPr>
        <w:t>onywanie orzeczeń sądowych w UE</w:t>
      </w:r>
      <w:r w:rsidR="00BE7466">
        <w:rPr>
          <w:rFonts w:asciiTheme="minorHAnsi" w:hAnsiTheme="minorHAnsi"/>
          <w:sz w:val="24"/>
          <w:szCs w:val="24"/>
        </w:rPr>
        <w:t xml:space="preserve"> i w Zje</w:t>
      </w:r>
      <w:r>
        <w:rPr>
          <w:rFonts w:asciiTheme="minorHAnsi" w:hAnsiTheme="minorHAnsi"/>
          <w:sz w:val="24"/>
          <w:szCs w:val="24"/>
        </w:rPr>
        <w:t>dnoczonym Królestwie</w:t>
      </w:r>
      <w:r w:rsidR="00BE7466">
        <w:rPr>
          <w:rFonts w:asciiTheme="minorHAnsi" w:hAnsiTheme="minorHAnsi"/>
          <w:sz w:val="24"/>
          <w:szCs w:val="24"/>
        </w:rPr>
        <w:t xml:space="preserve"> w okr</w:t>
      </w:r>
      <w:r>
        <w:rPr>
          <w:rFonts w:asciiTheme="minorHAnsi" w:hAnsiTheme="minorHAnsi"/>
          <w:sz w:val="24"/>
          <w:szCs w:val="24"/>
        </w:rPr>
        <w:t>esie przejściowym nie będą już miały zastosowania</w:t>
      </w:r>
      <w:r>
        <w:rPr>
          <w:rStyle w:val="Odwoanieprzypisudolnego"/>
          <w:rFonts w:asciiTheme="minorHAnsi" w:hAnsiTheme="minorHAnsi" w:cstheme="minorHAnsi"/>
          <w:sz w:val="24"/>
          <w:szCs w:val="24"/>
        </w:rPr>
        <w:footnoteReference w:id="28"/>
      </w:r>
      <w:r w:rsidR="00BE7466">
        <w:rPr>
          <w:rFonts w:asciiTheme="minorHAnsi" w:hAnsiTheme="minorHAnsi"/>
          <w:sz w:val="24"/>
          <w:szCs w:val="24"/>
        </w:rPr>
        <w:t>. W prz</w:t>
      </w:r>
      <w:r>
        <w:rPr>
          <w:rFonts w:asciiTheme="minorHAnsi" w:hAnsiTheme="minorHAnsi"/>
          <w:sz w:val="24"/>
          <w:szCs w:val="24"/>
        </w:rPr>
        <w:t>ypadku przystąpienia Zjednoczonego Królestwa do Konwencji haskiej</w:t>
      </w:r>
      <w:r w:rsidR="00BE7466">
        <w:rPr>
          <w:rFonts w:asciiTheme="minorHAnsi" w:hAnsiTheme="minorHAnsi"/>
          <w:sz w:val="24"/>
          <w:szCs w:val="24"/>
        </w:rPr>
        <w:t xml:space="preserve"> z 2</w:t>
      </w:r>
      <w:r>
        <w:rPr>
          <w:rFonts w:asciiTheme="minorHAnsi" w:hAnsiTheme="minorHAnsi"/>
          <w:sz w:val="24"/>
          <w:szCs w:val="24"/>
        </w:rPr>
        <w:t>0</w:t>
      </w:r>
      <w:r w:rsidRPr="00C43387">
        <w:rPr>
          <w:rFonts w:asciiTheme="minorHAnsi" w:hAnsiTheme="minorHAnsi"/>
          <w:sz w:val="24"/>
          <w:szCs w:val="24"/>
        </w:rPr>
        <w:t>05</w:t>
      </w:r>
      <w:r w:rsidR="00C43387" w:rsidRPr="00C43387">
        <w:rPr>
          <w:rFonts w:asciiTheme="minorHAnsi" w:hAnsiTheme="minorHAnsi"/>
          <w:sz w:val="24"/>
          <w:szCs w:val="24"/>
        </w:rPr>
        <w:t> </w:t>
      </w:r>
      <w:r w:rsidRPr="00C43387">
        <w:rPr>
          <w:rFonts w:asciiTheme="minorHAnsi" w:hAnsiTheme="minorHAnsi"/>
          <w:sz w:val="24"/>
          <w:szCs w:val="24"/>
        </w:rPr>
        <w:t>r.</w:t>
      </w:r>
      <w:r w:rsidR="00BE7466">
        <w:rPr>
          <w:rFonts w:asciiTheme="minorHAnsi" w:hAnsiTheme="minorHAnsi"/>
          <w:sz w:val="24"/>
          <w:szCs w:val="24"/>
        </w:rPr>
        <w:t xml:space="preserve"> o umo</w:t>
      </w:r>
      <w:r>
        <w:rPr>
          <w:rFonts w:asciiTheme="minorHAnsi" w:hAnsiTheme="minorHAnsi"/>
          <w:sz w:val="24"/>
          <w:szCs w:val="24"/>
        </w:rPr>
        <w:t>wach dotyczących właściwości sądu</w:t>
      </w:r>
      <w:r w:rsidR="00BE7466">
        <w:rPr>
          <w:rFonts w:asciiTheme="minorHAnsi" w:hAnsiTheme="minorHAnsi"/>
          <w:sz w:val="24"/>
          <w:szCs w:val="24"/>
        </w:rPr>
        <w:t xml:space="preserve"> z wła</w:t>
      </w:r>
      <w:r>
        <w:rPr>
          <w:rFonts w:asciiTheme="minorHAnsi" w:hAnsiTheme="minorHAnsi"/>
          <w:sz w:val="24"/>
          <w:szCs w:val="24"/>
        </w:rPr>
        <w:t>snej inicjatywy po zakończeniu okresu przejściowego konwencja ta miałaby zastosowanie wyłącznie do uznawania</w:t>
      </w:r>
      <w:r w:rsidR="00BE7466">
        <w:rPr>
          <w:rFonts w:asciiTheme="minorHAnsi" w:hAnsiTheme="minorHAnsi"/>
          <w:sz w:val="24"/>
          <w:szCs w:val="24"/>
        </w:rPr>
        <w:t xml:space="preserve"> i wyk</w:t>
      </w:r>
      <w:r>
        <w:rPr>
          <w:rFonts w:asciiTheme="minorHAnsi" w:hAnsiTheme="minorHAnsi"/>
          <w:sz w:val="24"/>
          <w:szCs w:val="24"/>
        </w:rPr>
        <w:t>onywania orzeczeń wydanych przez sądy wskazane</w:t>
      </w:r>
      <w:r w:rsidR="00BE7466">
        <w:rPr>
          <w:rFonts w:asciiTheme="minorHAnsi" w:hAnsiTheme="minorHAnsi"/>
          <w:sz w:val="24"/>
          <w:szCs w:val="24"/>
        </w:rPr>
        <w:t xml:space="preserve"> w umo</w:t>
      </w:r>
      <w:r>
        <w:rPr>
          <w:rFonts w:asciiTheme="minorHAnsi" w:hAnsiTheme="minorHAnsi"/>
          <w:sz w:val="24"/>
          <w:szCs w:val="24"/>
        </w:rPr>
        <w:t>wach dotyczących wyłącznej właściwości sądu, zawartych po tym, jak Zjednoczone Królestwo stanie się stroną tej konwencji. Zatem na razie uznawanie</w:t>
      </w:r>
      <w:r w:rsidR="00BE7466">
        <w:rPr>
          <w:rFonts w:asciiTheme="minorHAnsi" w:hAnsiTheme="minorHAnsi"/>
          <w:sz w:val="24"/>
          <w:szCs w:val="24"/>
        </w:rPr>
        <w:t xml:space="preserve"> i wyk</w:t>
      </w:r>
      <w:r>
        <w:rPr>
          <w:rFonts w:asciiTheme="minorHAnsi" w:hAnsiTheme="minorHAnsi"/>
          <w:sz w:val="24"/>
          <w:szCs w:val="24"/>
        </w:rPr>
        <w:t>onywanie orzeczeń sądowych Zjednoczonego Królestwa będzie regulowane przepisami krajowymi państwa członkowskiego,</w:t>
      </w:r>
      <w:r w:rsidR="00BE7466">
        <w:rPr>
          <w:rFonts w:asciiTheme="minorHAnsi" w:hAnsiTheme="minorHAnsi"/>
          <w:sz w:val="24"/>
          <w:szCs w:val="24"/>
        </w:rPr>
        <w:t xml:space="preserve"> w któ</w:t>
      </w:r>
      <w:r>
        <w:rPr>
          <w:rFonts w:asciiTheme="minorHAnsi" w:hAnsiTheme="minorHAnsi"/>
          <w:sz w:val="24"/>
          <w:szCs w:val="24"/>
        </w:rPr>
        <w:t>rym wystąpiono</w:t>
      </w:r>
      <w:r w:rsidR="00BE7466">
        <w:rPr>
          <w:rFonts w:asciiTheme="minorHAnsi" w:hAnsiTheme="minorHAnsi"/>
          <w:sz w:val="24"/>
          <w:szCs w:val="24"/>
        </w:rPr>
        <w:t xml:space="preserve"> o uzn</w:t>
      </w:r>
      <w:r>
        <w:rPr>
          <w:rFonts w:asciiTheme="minorHAnsi" w:hAnsiTheme="minorHAnsi"/>
          <w:sz w:val="24"/>
          <w:szCs w:val="24"/>
        </w:rPr>
        <w:t>anie/wykonanie orzeczenia.</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Wszystkim przedsiębiorstwom zaleca się uwzględnienie tej sytuacji przy ocenie umownego wyboru jurysdykcji krajowej.</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 powinny mieć świadomość, że</w:t>
      </w:r>
      <w:r w:rsidR="00BE7466">
        <w:rPr>
          <w:rFonts w:asciiTheme="minorHAnsi" w:hAnsiTheme="minorHAnsi"/>
          <w:sz w:val="24"/>
          <w:szCs w:val="24"/>
        </w:rPr>
        <w:t xml:space="preserve"> w por</w:t>
      </w:r>
      <w:r>
        <w:rPr>
          <w:rFonts w:asciiTheme="minorHAnsi" w:hAnsiTheme="minorHAnsi"/>
          <w:sz w:val="24"/>
          <w:szCs w:val="24"/>
        </w:rPr>
        <w:t>ównaniu</w:t>
      </w:r>
      <w:r w:rsidR="00BE7466">
        <w:rPr>
          <w:rFonts w:asciiTheme="minorHAnsi" w:hAnsiTheme="minorHAnsi"/>
          <w:sz w:val="24"/>
          <w:szCs w:val="24"/>
        </w:rPr>
        <w:t xml:space="preserve"> z obe</w:t>
      </w:r>
      <w:r>
        <w:rPr>
          <w:rFonts w:asciiTheme="minorHAnsi" w:hAnsiTheme="minorHAnsi"/>
          <w:sz w:val="24"/>
          <w:szCs w:val="24"/>
        </w:rPr>
        <w:t>cną sytuacją orzeczenia wydane przez sąd brytyjski mogą nie być już szybko wykonalne</w:t>
      </w:r>
      <w:r w:rsidR="00BE7466">
        <w:rPr>
          <w:rFonts w:asciiTheme="minorHAnsi" w:hAnsiTheme="minorHAnsi"/>
          <w:sz w:val="24"/>
          <w:szCs w:val="24"/>
        </w:rPr>
        <w:t xml:space="preserve"> w Uni</w:t>
      </w:r>
      <w:r>
        <w:rPr>
          <w:rFonts w:asciiTheme="minorHAnsi" w:hAnsiTheme="minorHAnsi"/>
          <w:sz w:val="24"/>
          <w:szCs w:val="24"/>
        </w:rPr>
        <w:t>i Europejskiej.</w:t>
      </w:r>
    </w:p>
    <w:p w:rsidR="005B5E63" w:rsidRDefault="00B858F1">
      <w:pPr>
        <w:pStyle w:val="Nagwek2"/>
      </w:pPr>
      <w:bookmarkStart w:id="34" w:name="_Toc46137017"/>
      <w:r>
        <w:t>Pozostałe aspekty: dane, prawa cyfrowe</w:t>
      </w:r>
      <w:r w:rsidR="00BE7466">
        <w:t xml:space="preserve"> i pra</w:t>
      </w:r>
      <w:r>
        <w:t>wa własności intelektualnej</w:t>
      </w:r>
      <w:bookmarkEnd w:id="34"/>
    </w:p>
    <w:p w:rsidR="005B5E63" w:rsidRDefault="00B858F1">
      <w:pPr>
        <w:pStyle w:val="Nagwek3"/>
        <w:spacing w:before="240"/>
        <w:rPr>
          <w:rFonts w:cstheme="minorHAnsi"/>
        </w:rPr>
      </w:pPr>
      <w:bookmarkStart w:id="35" w:name="_Toc46137018"/>
      <w:r>
        <w:t>G.1. Własność intelektualna</w:t>
      </w:r>
      <w:bookmarkEnd w:id="35"/>
    </w:p>
    <w:p w:rsidR="005B5E63" w:rsidRPr="00C43387"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uczestniczy</w:t>
      </w:r>
      <w:r w:rsidR="00BE7466">
        <w:rPr>
          <w:rFonts w:asciiTheme="minorHAnsi" w:hAnsiTheme="minorHAnsi"/>
          <w:sz w:val="24"/>
          <w:szCs w:val="24"/>
        </w:rPr>
        <w:t xml:space="preserve"> w jed</w:t>
      </w:r>
      <w:r>
        <w:rPr>
          <w:rFonts w:asciiTheme="minorHAnsi" w:hAnsiTheme="minorHAnsi"/>
          <w:sz w:val="24"/>
          <w:szCs w:val="24"/>
        </w:rPr>
        <w:t>nolitym rynku UE</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obecnie posiadacz prawa własności intelektualnej, takiego jak unijny znak towarowy, nie może powoływać się na taki znak towarowy, aby sprzeciwić się wysyłce towarów ze Zjednoczonego Królestwa do Unii Europejskiej,</w:t>
      </w:r>
      <w:r w:rsidR="00BE7466">
        <w:rPr>
          <w:rFonts w:asciiTheme="minorHAnsi" w:hAnsiTheme="minorHAnsi"/>
          <w:sz w:val="24"/>
          <w:szCs w:val="24"/>
        </w:rPr>
        <w:t xml:space="preserve"> o ile</w:t>
      </w:r>
      <w:r>
        <w:rPr>
          <w:rFonts w:asciiTheme="minorHAnsi" w:hAnsiTheme="minorHAnsi"/>
          <w:sz w:val="24"/>
          <w:szCs w:val="24"/>
        </w:rPr>
        <w:t xml:space="preserve"> towary te zostały wprowadzone do obrotu</w:t>
      </w:r>
      <w:r w:rsidR="00BE7466">
        <w:rPr>
          <w:rFonts w:asciiTheme="minorHAnsi" w:hAnsiTheme="minorHAnsi"/>
          <w:sz w:val="24"/>
          <w:szCs w:val="24"/>
        </w:rPr>
        <w:t xml:space="preserve"> w Zje</w:t>
      </w:r>
      <w:r>
        <w:rPr>
          <w:rFonts w:asciiTheme="minorHAnsi" w:hAnsiTheme="minorHAnsi"/>
          <w:sz w:val="24"/>
          <w:szCs w:val="24"/>
        </w:rPr>
        <w:t>dnoczonym Królestwie pod tym znakiem towarowym przez posiadacza prawa lub za jego zgodą („zasada wyczerpania praw własności intelektualnej”)</w:t>
      </w:r>
      <w:r w:rsidR="00BE7466">
        <w:rPr>
          <w:rFonts w:asciiTheme="minorHAnsi" w:hAnsiTheme="minorHAnsi"/>
          <w:sz w:val="24"/>
          <w:szCs w:val="24"/>
        </w:rPr>
        <w:t xml:space="preserve"> i odw</w:t>
      </w:r>
      <w:r>
        <w:rPr>
          <w:rFonts w:asciiTheme="minorHAnsi" w:hAnsiTheme="minorHAnsi"/>
          <w:sz w:val="24"/>
          <w:szCs w:val="24"/>
        </w:rPr>
        <w:t>rotnie</w:t>
      </w:r>
      <w:r w:rsidRPr="00C43387">
        <w:rPr>
          <w:rFonts w:asciiTheme="minorHAnsi" w:hAnsiTheme="minorHAnsi"/>
          <w:sz w:val="24"/>
          <w:szCs w:val="24"/>
        </w:rPr>
        <w:t>.</w:t>
      </w:r>
      <w:r w:rsidR="00C43387" w:rsidRPr="00C43387">
        <w:rPr>
          <w:rFonts w:asciiTheme="minorHAnsi" w:hAnsiTheme="minorHAnsi"/>
          <w:sz w:val="24"/>
          <w:szCs w:val="24"/>
        </w:rPr>
        <w:t xml:space="preserve"> </w:t>
      </w:r>
    </w:p>
    <w:p w:rsidR="005B5E63" w:rsidRDefault="00B858F1">
      <w:pPr>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przedsiębiorcy</w:t>
      </w:r>
      <w:r w:rsidR="00BE7466">
        <w:rPr>
          <w:rFonts w:asciiTheme="minorHAnsi" w:hAnsiTheme="minorHAnsi"/>
          <w:sz w:val="24"/>
          <w:szCs w:val="24"/>
        </w:rPr>
        <w:t xml:space="preserve"> w Uni</w:t>
      </w:r>
      <w:r>
        <w:rPr>
          <w:rFonts w:asciiTheme="minorHAnsi" w:hAnsiTheme="minorHAnsi"/>
          <w:sz w:val="24"/>
          <w:szCs w:val="24"/>
        </w:rPr>
        <w:t>i Europejskiej nie będą już mogli powoływać się na wyczerpanie praw wobec posiadaczy prawa własności intelektualnej przy zaopatrywaniu się</w:t>
      </w:r>
      <w:r w:rsidR="00BE7466">
        <w:rPr>
          <w:rFonts w:asciiTheme="minorHAnsi" w:hAnsiTheme="minorHAnsi"/>
          <w:sz w:val="24"/>
          <w:szCs w:val="24"/>
        </w:rPr>
        <w:t xml:space="preserve"> w pro</w:t>
      </w:r>
      <w:r>
        <w:rPr>
          <w:rFonts w:asciiTheme="minorHAnsi" w:hAnsiTheme="minorHAnsi"/>
          <w:sz w:val="24"/>
          <w:szCs w:val="24"/>
        </w:rPr>
        <w:t>dukty ze Zjednoczonego Królestwa.</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lastRenderedPageBreak/>
        <w:t>Przedsiębiorstwa zajmujące się importem równoległym ze Zjednoczonego Królestwa powinny ponownie przyjrzeć się swoim ustaleniom biznesowym.</w:t>
      </w:r>
    </w:p>
    <w:p w:rsidR="005B5E63" w:rsidRDefault="00B858F1">
      <w:pPr>
        <w:jc w:val="both"/>
        <w:rPr>
          <w:rFonts w:asciiTheme="minorHAnsi" w:hAnsiTheme="minorHAnsi" w:cstheme="minorHAnsi"/>
          <w:sz w:val="24"/>
          <w:szCs w:val="24"/>
        </w:rPr>
      </w:pPr>
      <w:r>
        <w:rPr>
          <w:rFonts w:asciiTheme="minorHAnsi" w:hAnsiTheme="minorHAnsi"/>
          <w:sz w:val="24"/>
          <w:szCs w:val="24"/>
        </w:rPr>
        <w:t xml:space="preserve">Ponadto </w:t>
      </w: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podczas gdy istniejące unijne jednolite prawa własności intelektualnej (unijne znaki towarowe, wzory wspólnotowe, wspólnotowe prawo do ochrony odmian roślin</w:t>
      </w:r>
      <w:r w:rsidR="00BE7466">
        <w:rPr>
          <w:rFonts w:asciiTheme="minorHAnsi" w:hAnsiTheme="minorHAnsi"/>
          <w:sz w:val="24"/>
          <w:szCs w:val="24"/>
        </w:rPr>
        <w:t xml:space="preserve"> i ozn</w:t>
      </w:r>
      <w:r>
        <w:rPr>
          <w:rFonts w:asciiTheme="minorHAnsi" w:hAnsiTheme="minorHAnsi"/>
          <w:sz w:val="24"/>
          <w:szCs w:val="24"/>
        </w:rPr>
        <w:t>aczeń geograficznych) pozostaną objęte ochroną na mocy umowy</w:t>
      </w:r>
      <w:r w:rsidR="00BE7466">
        <w:rPr>
          <w:rFonts w:asciiTheme="minorHAnsi" w:hAnsiTheme="minorHAnsi"/>
          <w:sz w:val="24"/>
          <w:szCs w:val="24"/>
        </w:rPr>
        <w:t xml:space="preserve"> o wys</w:t>
      </w:r>
      <w:r>
        <w:rPr>
          <w:rFonts w:asciiTheme="minorHAnsi" w:hAnsiTheme="minorHAnsi"/>
          <w:sz w:val="24"/>
          <w:szCs w:val="24"/>
        </w:rPr>
        <w:t>tąpieniu, wszelkie nowe unijne jednolite prawa będą miały ograniczony zakres terytorialny, ponieważ nie będą już obowiązywały</w:t>
      </w:r>
      <w:r w:rsidR="00BE7466">
        <w:rPr>
          <w:rFonts w:asciiTheme="minorHAnsi" w:hAnsiTheme="minorHAnsi"/>
          <w:sz w:val="24"/>
          <w:szCs w:val="24"/>
        </w:rPr>
        <w:t xml:space="preserve"> w Zje</w:t>
      </w:r>
      <w:r>
        <w:rPr>
          <w:rFonts w:asciiTheme="minorHAnsi" w:hAnsiTheme="minorHAnsi"/>
          <w:sz w:val="24"/>
          <w:szCs w:val="24"/>
        </w:rPr>
        <w:t>dnoczonym Królestwie</w:t>
      </w:r>
      <w:r>
        <w:rPr>
          <w:rStyle w:val="Odwoanieprzypisudolnego"/>
          <w:rFonts w:asciiTheme="minorHAnsi" w:hAnsiTheme="minorHAnsi" w:cstheme="minorHAnsi"/>
          <w:sz w:val="24"/>
          <w:szCs w:val="24"/>
        </w:rPr>
        <w:footnoteReference w:id="29"/>
      </w:r>
      <w:r>
        <w:rPr>
          <w:rFonts w:asciiTheme="minorHAnsi" w:hAnsiTheme="minorHAnsi"/>
          <w:sz w:val="24"/>
          <w:szCs w:val="24"/>
        </w:rPr>
        <w:t xml:space="preserve">. </w:t>
      </w:r>
    </w:p>
    <w:p w:rsidR="005B5E63" w:rsidRDefault="00B858F1">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HAnsi"/>
          <w:sz w:val="24"/>
          <w:szCs w:val="24"/>
        </w:rPr>
      </w:pPr>
      <w:r>
        <w:rPr>
          <w:rFonts w:asciiTheme="minorHAnsi" w:hAnsiTheme="minorHAnsi"/>
          <w:sz w:val="24"/>
          <w:szCs w:val="24"/>
        </w:rPr>
        <w:t>Zainteresowane strony powinny</w:t>
      </w:r>
      <w:r w:rsidR="00BE7466">
        <w:rPr>
          <w:rFonts w:asciiTheme="minorHAnsi" w:hAnsiTheme="minorHAnsi"/>
          <w:sz w:val="24"/>
          <w:szCs w:val="24"/>
        </w:rPr>
        <w:t xml:space="preserve"> w sto</w:t>
      </w:r>
      <w:r>
        <w:rPr>
          <w:rFonts w:asciiTheme="minorHAnsi" w:hAnsiTheme="minorHAnsi"/>
          <w:sz w:val="24"/>
          <w:szCs w:val="24"/>
        </w:rPr>
        <w:t>sownych przypadkach wprowadzić środki niezbędne do zapewnienia ochrony przyszłych praw własności intelektualnej</w:t>
      </w:r>
      <w:r w:rsidR="00BE7466">
        <w:rPr>
          <w:rFonts w:asciiTheme="minorHAnsi" w:hAnsiTheme="minorHAnsi"/>
          <w:sz w:val="24"/>
          <w:szCs w:val="24"/>
        </w:rPr>
        <w:t xml:space="preserve"> w Zje</w:t>
      </w:r>
      <w:r>
        <w:rPr>
          <w:rFonts w:asciiTheme="minorHAnsi" w:hAnsiTheme="minorHAnsi"/>
          <w:sz w:val="24"/>
          <w:szCs w:val="24"/>
        </w:rPr>
        <w:t xml:space="preserve">dnoczonym Królestwie. </w:t>
      </w:r>
    </w:p>
    <w:p w:rsidR="005B5E63" w:rsidRDefault="00B858F1">
      <w:pPr>
        <w:pStyle w:val="Nagwek3"/>
      </w:pPr>
      <w:bookmarkStart w:id="36" w:name="_Toc46137019"/>
      <w:r>
        <w:t>G.2. Przekazywanie</w:t>
      </w:r>
      <w:r w:rsidR="00BE7466">
        <w:t xml:space="preserve"> i och</w:t>
      </w:r>
      <w:r>
        <w:t>rona danych</w:t>
      </w:r>
      <w:bookmarkEnd w:id="36"/>
    </w:p>
    <w:p w:rsidR="005B5E63" w:rsidRDefault="00B858F1">
      <w:pPr>
        <w:jc w:val="both"/>
        <w:rPr>
          <w:rFonts w:asciiTheme="minorHAnsi" w:hAnsiTheme="minorHAnsi" w:cstheme="minorHAnsi"/>
          <w:sz w:val="24"/>
          <w:szCs w:val="24"/>
        </w:rPr>
      </w:pPr>
      <w:r>
        <w:rPr>
          <w:rFonts w:asciiTheme="minorHAnsi" w:hAnsiTheme="minorHAnsi"/>
          <w:sz w:val="24"/>
          <w:szCs w:val="24"/>
        </w:rPr>
        <w:t>W okresie przejściowym Zjednoczone Królestwo podlega unijnym przepisom dotyczącym ochrony danych</w:t>
      </w:r>
      <w:r w:rsidR="00BE7466">
        <w:rPr>
          <w:rFonts w:asciiTheme="minorHAnsi" w:hAnsiTheme="minorHAnsi"/>
          <w:sz w:val="24"/>
          <w:szCs w:val="24"/>
        </w:rPr>
        <w:t>. W zwi</w:t>
      </w:r>
      <w:r>
        <w:rPr>
          <w:rFonts w:asciiTheme="minorHAnsi" w:hAnsiTheme="minorHAnsi"/>
          <w:sz w:val="24"/>
          <w:szCs w:val="24"/>
        </w:rPr>
        <w:t>ązku</w:t>
      </w:r>
      <w:r w:rsidR="00BE7466">
        <w:rPr>
          <w:rFonts w:asciiTheme="minorHAnsi" w:hAnsiTheme="minorHAnsi"/>
          <w:sz w:val="24"/>
          <w:szCs w:val="24"/>
        </w:rPr>
        <w:t xml:space="preserve"> z tym</w:t>
      </w:r>
      <w:r>
        <w:rPr>
          <w:rFonts w:asciiTheme="minorHAnsi" w:hAnsiTheme="minorHAnsi"/>
          <w:sz w:val="24"/>
          <w:szCs w:val="24"/>
        </w:rPr>
        <w:t xml:space="preserve"> dane osobowe mogą być obecnie przekazywane</w:t>
      </w:r>
      <w:r w:rsidR="00BE7466">
        <w:rPr>
          <w:rFonts w:asciiTheme="minorHAnsi" w:hAnsiTheme="minorHAnsi"/>
          <w:sz w:val="24"/>
          <w:szCs w:val="24"/>
        </w:rPr>
        <w:t xml:space="preserve"> z Uni</w:t>
      </w:r>
      <w:r>
        <w:rPr>
          <w:rFonts w:asciiTheme="minorHAnsi" w:hAnsiTheme="minorHAnsi"/>
          <w:sz w:val="24"/>
          <w:szCs w:val="24"/>
        </w:rPr>
        <w:t>i Europejskiej do Zjednoczonego Królestwa bez żadnych ograniczeń.</w:t>
      </w:r>
    </w:p>
    <w:p w:rsidR="005B5E63" w:rsidRDefault="00B858F1">
      <w:pPr>
        <w:jc w:val="both"/>
        <w:rPr>
          <w:rFonts w:asciiTheme="minorHAnsi" w:hAnsiTheme="minorHAnsi" w:cstheme="minorHAnsi"/>
          <w:sz w:val="24"/>
          <w:szCs w:val="24"/>
        </w:rPr>
      </w:pPr>
      <w:r>
        <w:rPr>
          <w:rFonts w:asciiTheme="minorHAnsi" w:hAnsiTheme="minorHAnsi"/>
          <w:b/>
          <w:sz w:val="24"/>
          <w:szCs w:val="24"/>
        </w:rPr>
        <w:t>Po dniu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można kontynuować przekazywanie danych osobowych do Zjednoczonego Królestwa, ale należy przy tym zapewnić zgodność ze szczególnymi przepisami Unii</w:t>
      </w:r>
      <w:r w:rsidR="00BE7466">
        <w:rPr>
          <w:rFonts w:asciiTheme="minorHAnsi" w:hAnsiTheme="minorHAnsi"/>
          <w:sz w:val="24"/>
          <w:szCs w:val="24"/>
        </w:rPr>
        <w:t xml:space="preserve"> i gwa</w:t>
      </w:r>
      <w:r>
        <w:rPr>
          <w:rFonts w:asciiTheme="minorHAnsi" w:hAnsiTheme="minorHAnsi"/>
          <w:sz w:val="24"/>
          <w:szCs w:val="24"/>
        </w:rPr>
        <w:t>rancjami dotyczącymi przekazywania danych osobowych do państw trzecich, określonymi</w:t>
      </w:r>
      <w:r w:rsidR="00BE7466">
        <w:rPr>
          <w:rFonts w:asciiTheme="minorHAnsi" w:hAnsiTheme="minorHAnsi"/>
          <w:sz w:val="24"/>
          <w:szCs w:val="24"/>
        </w:rPr>
        <w:t xml:space="preserve"> w ogó</w:t>
      </w:r>
      <w:r>
        <w:rPr>
          <w:rFonts w:asciiTheme="minorHAnsi" w:hAnsiTheme="minorHAnsi"/>
          <w:sz w:val="24"/>
          <w:szCs w:val="24"/>
        </w:rPr>
        <w:t>lnym rozporządzeniu UE</w:t>
      </w:r>
      <w:r w:rsidR="00BE7466">
        <w:rPr>
          <w:rFonts w:asciiTheme="minorHAnsi" w:hAnsiTheme="minorHAnsi"/>
          <w:sz w:val="24"/>
          <w:szCs w:val="24"/>
        </w:rPr>
        <w:t xml:space="preserve"> o och</w:t>
      </w:r>
      <w:r>
        <w:rPr>
          <w:rFonts w:asciiTheme="minorHAnsi" w:hAnsiTheme="minorHAnsi"/>
          <w:sz w:val="24"/>
          <w:szCs w:val="24"/>
        </w:rPr>
        <w:t>ronie danych (RODO)</w:t>
      </w:r>
      <w:r>
        <w:rPr>
          <w:rStyle w:val="Odwoanieprzypisudolnego"/>
          <w:rFonts w:asciiTheme="minorHAnsi" w:hAnsiTheme="minorHAnsi" w:cstheme="minorHAnsi"/>
          <w:sz w:val="24"/>
          <w:szCs w:val="24"/>
        </w:rPr>
        <w:footnoteReference w:id="30"/>
      </w:r>
      <w:r>
        <w:rPr>
          <w:rFonts w:asciiTheme="minorHAnsi" w:hAnsiTheme="minorHAnsi"/>
          <w:sz w:val="24"/>
          <w:szCs w:val="24"/>
        </w:rPr>
        <w:t xml:space="preserve"> lub</w:t>
      </w:r>
      <w:r w:rsidR="00BE7466">
        <w:rPr>
          <w:rFonts w:asciiTheme="minorHAnsi" w:hAnsiTheme="minorHAnsi"/>
          <w:sz w:val="24"/>
          <w:szCs w:val="24"/>
        </w:rPr>
        <w:t xml:space="preserve"> w dyr</w:t>
      </w:r>
      <w:r>
        <w:rPr>
          <w:rFonts w:asciiTheme="minorHAnsi" w:hAnsiTheme="minorHAnsi"/>
          <w:sz w:val="24"/>
          <w:szCs w:val="24"/>
        </w:rPr>
        <w:t>ektywie</w:t>
      </w:r>
      <w:r w:rsidR="00BE7466">
        <w:rPr>
          <w:rFonts w:asciiTheme="minorHAnsi" w:hAnsiTheme="minorHAnsi"/>
          <w:sz w:val="24"/>
          <w:szCs w:val="24"/>
        </w:rPr>
        <w:t xml:space="preserve"> o och</w:t>
      </w:r>
      <w:r>
        <w:rPr>
          <w:rFonts w:asciiTheme="minorHAnsi" w:hAnsiTheme="minorHAnsi"/>
          <w:sz w:val="24"/>
          <w:szCs w:val="24"/>
        </w:rPr>
        <w:t>ronie danych</w:t>
      </w:r>
      <w:r w:rsidR="00BE7466">
        <w:rPr>
          <w:rFonts w:asciiTheme="minorHAnsi" w:hAnsiTheme="minorHAnsi"/>
          <w:sz w:val="24"/>
          <w:szCs w:val="24"/>
        </w:rPr>
        <w:t xml:space="preserve"> w spr</w:t>
      </w:r>
      <w:r>
        <w:rPr>
          <w:rFonts w:asciiTheme="minorHAnsi" w:hAnsiTheme="minorHAnsi"/>
          <w:sz w:val="24"/>
          <w:szCs w:val="24"/>
        </w:rPr>
        <w:t>awach karnych</w:t>
      </w:r>
      <w:r>
        <w:rPr>
          <w:rStyle w:val="Odwoanieprzypisudolnego"/>
          <w:rFonts w:asciiTheme="minorHAnsi" w:hAnsiTheme="minorHAnsi" w:cstheme="minorHAnsi"/>
          <w:sz w:val="24"/>
          <w:szCs w:val="24"/>
        </w:rPr>
        <w:footnoteReference w:id="31"/>
      </w:r>
      <w:r>
        <w:rPr>
          <w:rFonts w:asciiTheme="minorHAnsi" w:hAnsiTheme="minorHAnsi"/>
          <w:sz w:val="24"/>
          <w:szCs w:val="24"/>
        </w:rP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W szczególności</w:t>
      </w:r>
      <w:r w:rsidR="00BE7466">
        <w:rPr>
          <w:rFonts w:asciiTheme="minorHAnsi" w:hAnsiTheme="minorHAnsi"/>
          <w:sz w:val="24"/>
          <w:szCs w:val="24"/>
        </w:rPr>
        <w:t xml:space="preserve"> w roz</w:t>
      </w:r>
      <w:r>
        <w:rPr>
          <w:rFonts w:asciiTheme="minorHAnsi" w:hAnsiTheme="minorHAnsi"/>
          <w:sz w:val="24"/>
          <w:szCs w:val="24"/>
        </w:rPr>
        <w:t>dziale V RODO przewidziano szereg narzędzi gwarantujących, że podczas przekazywania danych osobowych do państw trzecich nie zostanie naruszony stopień ochrony osób fizycznych zagwarantowany</w:t>
      </w:r>
      <w:r w:rsidR="00BE7466">
        <w:rPr>
          <w:rFonts w:asciiTheme="minorHAnsi" w:hAnsiTheme="minorHAnsi"/>
          <w:sz w:val="24"/>
          <w:szCs w:val="24"/>
        </w:rPr>
        <w:t xml:space="preserve"> w Uni</w:t>
      </w:r>
      <w:r>
        <w:rPr>
          <w:rFonts w:asciiTheme="minorHAnsi" w:hAnsiTheme="minorHAnsi"/>
          <w:sz w:val="24"/>
          <w:szCs w:val="24"/>
        </w:rPr>
        <w:t xml:space="preserve">i. Spośród tych narzędzi Unia Europejska może przyjąć jednostronną decyzję stwierdzającą „odpowiedni stopień ochrony” na podstawie </w:t>
      </w:r>
      <w:r w:rsidRPr="00C43387">
        <w:rPr>
          <w:rFonts w:asciiTheme="minorHAnsi" w:hAnsiTheme="minorHAnsi"/>
          <w:sz w:val="24"/>
          <w:szCs w:val="24"/>
        </w:rPr>
        <w:t>art.</w:t>
      </w:r>
      <w:r w:rsidR="00C43387" w:rsidRPr="00C43387">
        <w:rPr>
          <w:rFonts w:asciiTheme="minorHAnsi" w:hAnsiTheme="minorHAnsi"/>
          <w:sz w:val="24"/>
          <w:szCs w:val="24"/>
        </w:rPr>
        <w:t> </w:t>
      </w:r>
      <w:r w:rsidRPr="00C43387">
        <w:rPr>
          <w:rFonts w:asciiTheme="minorHAnsi" w:hAnsiTheme="minorHAnsi"/>
          <w:sz w:val="24"/>
          <w:szCs w:val="24"/>
        </w:rPr>
        <w:t>4</w:t>
      </w:r>
      <w:r>
        <w:rPr>
          <w:rFonts w:asciiTheme="minorHAnsi" w:hAnsiTheme="minorHAnsi"/>
          <w:sz w:val="24"/>
          <w:szCs w:val="24"/>
        </w:rPr>
        <w:t>5 ogólnego rozporządzenia</w:t>
      </w:r>
      <w:r w:rsidR="00BE7466">
        <w:rPr>
          <w:rFonts w:asciiTheme="minorHAnsi" w:hAnsiTheme="minorHAnsi"/>
          <w:sz w:val="24"/>
          <w:szCs w:val="24"/>
        </w:rPr>
        <w:t xml:space="preserve"> o och</w:t>
      </w:r>
      <w:r>
        <w:rPr>
          <w:rFonts w:asciiTheme="minorHAnsi" w:hAnsiTheme="minorHAnsi"/>
          <w:sz w:val="24"/>
          <w:szCs w:val="24"/>
        </w:rPr>
        <w:t>ronie danych, jeżeli uzna, że państwo trzecie zapewnia odpowiedni poziom ochrony danych.</w:t>
      </w:r>
    </w:p>
    <w:p w:rsidR="005B5E63" w:rsidRDefault="00B858F1">
      <w:pPr>
        <w:jc w:val="both"/>
        <w:rPr>
          <w:rFonts w:asciiTheme="minorHAnsi" w:hAnsiTheme="minorHAnsi" w:cstheme="minorHAnsi"/>
          <w:sz w:val="24"/>
          <w:szCs w:val="24"/>
        </w:rPr>
      </w:pPr>
      <w:r>
        <w:rPr>
          <w:rFonts w:asciiTheme="minorHAnsi" w:hAnsiTheme="minorHAnsi"/>
          <w:sz w:val="24"/>
          <w:szCs w:val="24"/>
        </w:rPr>
        <w:t>Jak podkreślono</w:t>
      </w:r>
      <w:r w:rsidR="00BE7466">
        <w:rPr>
          <w:rFonts w:asciiTheme="minorHAnsi" w:hAnsiTheme="minorHAnsi"/>
          <w:sz w:val="24"/>
          <w:szCs w:val="24"/>
        </w:rPr>
        <w:t xml:space="preserve"> w dek</w:t>
      </w:r>
      <w:r>
        <w:rPr>
          <w:rFonts w:asciiTheme="minorHAnsi" w:hAnsiTheme="minorHAnsi"/>
          <w:sz w:val="24"/>
          <w:szCs w:val="24"/>
        </w:rPr>
        <w:t>laracji politycznej</w:t>
      </w:r>
      <w:r>
        <w:rPr>
          <w:rStyle w:val="Odwoanieprzypisudolnego"/>
          <w:rFonts w:asciiTheme="minorHAnsi" w:hAnsiTheme="minorHAnsi" w:cstheme="minorHAnsi"/>
          <w:sz w:val="24"/>
          <w:szCs w:val="24"/>
        </w:rPr>
        <w:footnoteReference w:id="32"/>
      </w:r>
      <w:r>
        <w:rPr>
          <w:rFonts w:asciiTheme="minorHAnsi" w:hAnsiTheme="minorHAnsi"/>
          <w:sz w:val="24"/>
          <w:szCs w:val="24"/>
        </w:rPr>
        <w:t>, UE dołoży wszelkich starań, by zakończyć ocenę systemu Zjednoczonego Królestwa do końca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sidR="00BE7466">
        <w:rPr>
          <w:rFonts w:asciiTheme="minorHAnsi" w:hAnsiTheme="minorHAnsi"/>
          <w:sz w:val="24"/>
          <w:szCs w:val="24"/>
        </w:rPr>
        <w:t xml:space="preserve"> z myś</w:t>
      </w:r>
      <w:r>
        <w:rPr>
          <w:rFonts w:asciiTheme="minorHAnsi" w:hAnsiTheme="minorHAnsi"/>
          <w:sz w:val="24"/>
          <w:szCs w:val="24"/>
        </w:rPr>
        <w:t>lą</w:t>
      </w:r>
      <w:r w:rsidR="00BE7466">
        <w:rPr>
          <w:rFonts w:asciiTheme="minorHAnsi" w:hAnsiTheme="minorHAnsi"/>
          <w:sz w:val="24"/>
          <w:szCs w:val="24"/>
        </w:rPr>
        <w:t xml:space="preserve"> o ewe</w:t>
      </w:r>
      <w:r>
        <w:rPr>
          <w:rFonts w:asciiTheme="minorHAnsi" w:hAnsiTheme="minorHAnsi"/>
          <w:sz w:val="24"/>
          <w:szCs w:val="24"/>
        </w:rPr>
        <w:t>ntualnym przyjęciu decyzji, jeżeli Zjednoczone Królestwo spełni stosowne warunki. Komisja przeprowadza obecnie tę ocenę</w:t>
      </w:r>
      <w:r w:rsidR="00BE7466">
        <w:rPr>
          <w:rFonts w:asciiTheme="minorHAnsi" w:hAnsiTheme="minorHAnsi"/>
          <w:sz w:val="24"/>
          <w:szCs w:val="24"/>
        </w:rPr>
        <w:t xml:space="preserve"> i zor</w:t>
      </w:r>
      <w:r>
        <w:rPr>
          <w:rFonts w:asciiTheme="minorHAnsi" w:hAnsiTheme="minorHAnsi"/>
          <w:sz w:val="24"/>
          <w:szCs w:val="24"/>
        </w:rPr>
        <w:t>ganizowała szereg spotkań technicznych ze Zjednoczonym Królestwem</w:t>
      </w:r>
      <w:r w:rsidR="00BE7466">
        <w:rPr>
          <w:rFonts w:asciiTheme="minorHAnsi" w:hAnsiTheme="minorHAnsi"/>
          <w:sz w:val="24"/>
          <w:szCs w:val="24"/>
        </w:rPr>
        <w:t xml:space="preserve"> </w:t>
      </w:r>
      <w:r w:rsidR="00BE7466">
        <w:rPr>
          <w:rFonts w:asciiTheme="minorHAnsi" w:hAnsiTheme="minorHAnsi"/>
          <w:sz w:val="24"/>
          <w:szCs w:val="24"/>
        </w:rPr>
        <w:lastRenderedPageBreak/>
        <w:t>w cel</w:t>
      </w:r>
      <w:r>
        <w:rPr>
          <w:rFonts w:asciiTheme="minorHAnsi" w:hAnsiTheme="minorHAnsi"/>
          <w:sz w:val="24"/>
          <w:szCs w:val="24"/>
        </w:rPr>
        <w:t>u zebrania informacji na potrzeby tego procesu. Ze strony Zjednoczonego Królestwa</w:t>
      </w:r>
      <w:r w:rsidR="00BE7466">
        <w:rPr>
          <w:rFonts w:asciiTheme="minorHAnsi" w:hAnsiTheme="minorHAnsi"/>
          <w:sz w:val="24"/>
          <w:szCs w:val="24"/>
        </w:rPr>
        <w:t xml:space="preserve"> w ust</w:t>
      </w:r>
      <w:r>
        <w:rPr>
          <w:rFonts w:asciiTheme="minorHAnsi" w:hAnsiTheme="minorHAnsi"/>
          <w:sz w:val="24"/>
          <w:szCs w:val="24"/>
        </w:rPr>
        <w:t>awie</w:t>
      </w:r>
      <w:r w:rsidR="00BE7466">
        <w:rPr>
          <w:rFonts w:asciiTheme="minorHAnsi" w:hAnsiTheme="minorHAnsi"/>
          <w:sz w:val="24"/>
          <w:szCs w:val="24"/>
        </w:rPr>
        <w:t xml:space="preserve"> o och</w:t>
      </w:r>
      <w:r>
        <w:rPr>
          <w:rFonts w:asciiTheme="minorHAnsi" w:hAnsiTheme="minorHAnsi"/>
          <w:sz w:val="24"/>
          <w:szCs w:val="24"/>
        </w:rPr>
        <w:t>ronie danych osobowych przyznano państwom członkowskim UE odpowiedni stopień ochrony danych do końca 20</w:t>
      </w:r>
      <w:r w:rsidRPr="00C43387">
        <w:rPr>
          <w:rFonts w:asciiTheme="minorHAnsi" w:hAnsiTheme="minorHAnsi"/>
          <w:sz w:val="24"/>
          <w:szCs w:val="24"/>
        </w:rPr>
        <w:t>24</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przy czym do tego czasu konieczne będzie przeprowadzenie ponownej analizy.</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sz w:val="24"/>
          <w:szCs w:val="24"/>
          <w:u w:val="single"/>
        </w:rPr>
        <w:t>Porady dla przedsiębiorstw</w:t>
      </w:r>
      <w:r w:rsidR="00BE7466">
        <w:rPr>
          <w:rFonts w:asciiTheme="minorHAnsi" w:hAnsiTheme="minorHAnsi"/>
          <w:b/>
          <w:sz w:val="24"/>
          <w:szCs w:val="24"/>
          <w:u w:val="single"/>
        </w:rPr>
        <w:t xml:space="preserve"> i adm</w:t>
      </w:r>
      <w:r>
        <w:rPr>
          <w:rFonts w:asciiTheme="minorHAnsi" w:hAnsiTheme="minorHAnsi"/>
          <w:b/>
          <w:sz w:val="24"/>
          <w:szCs w:val="24"/>
          <w:u w:val="single"/>
        </w:rPr>
        <w:t>inistracji państw członkowskich</w:t>
      </w:r>
    </w:p>
    <w:p w:rsidR="005B5E63" w:rsidRDefault="00B858F1">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sz w:val="24"/>
          <w:szCs w:val="24"/>
        </w:rPr>
        <w:t>Przedsiębiorstwa</w:t>
      </w:r>
      <w:r w:rsidR="00BE7466">
        <w:rPr>
          <w:rFonts w:asciiTheme="minorHAnsi" w:hAnsiTheme="minorHAnsi"/>
          <w:sz w:val="24"/>
          <w:szCs w:val="24"/>
        </w:rPr>
        <w:t xml:space="preserve"> i org</w:t>
      </w:r>
      <w:r>
        <w:rPr>
          <w:rFonts w:asciiTheme="minorHAnsi" w:hAnsiTheme="minorHAnsi"/>
          <w:sz w:val="24"/>
          <w:szCs w:val="24"/>
        </w:rPr>
        <w:t>any administracji publicznej powinny podjąć niezbędne kroki</w:t>
      </w:r>
      <w:r w:rsidR="00BE7466">
        <w:rPr>
          <w:rFonts w:asciiTheme="minorHAnsi" w:hAnsiTheme="minorHAnsi"/>
          <w:sz w:val="24"/>
          <w:szCs w:val="24"/>
        </w:rPr>
        <w:t xml:space="preserve"> w cel</w:t>
      </w:r>
      <w:r>
        <w:rPr>
          <w:rFonts w:asciiTheme="minorHAnsi" w:hAnsiTheme="minorHAnsi"/>
          <w:sz w:val="24"/>
          <w:szCs w:val="24"/>
        </w:rPr>
        <w:t>u zapewnienia zgodności wszelkich przypadków przekazywania danych osobowych do Zjednoczonego Królestwa</w:t>
      </w:r>
      <w:r w:rsidR="00BE7466">
        <w:rPr>
          <w:rFonts w:asciiTheme="minorHAnsi" w:hAnsiTheme="minorHAnsi"/>
          <w:sz w:val="24"/>
          <w:szCs w:val="24"/>
        </w:rPr>
        <w:t xml:space="preserve"> z uni</w:t>
      </w:r>
      <w:r>
        <w:rPr>
          <w:rFonts w:asciiTheme="minorHAnsi" w:hAnsiTheme="minorHAnsi"/>
          <w:sz w:val="24"/>
          <w:szCs w:val="24"/>
        </w:rPr>
        <w:t>jnymi przepisami</w:t>
      </w:r>
      <w:r w:rsidR="00BE7466">
        <w:rPr>
          <w:rFonts w:asciiTheme="minorHAnsi" w:hAnsiTheme="minorHAnsi"/>
          <w:sz w:val="24"/>
          <w:szCs w:val="24"/>
        </w:rPr>
        <w:t xml:space="preserve"> o och</w:t>
      </w:r>
      <w:r>
        <w:rPr>
          <w:rFonts w:asciiTheme="minorHAnsi" w:hAnsiTheme="minorHAnsi"/>
          <w:sz w:val="24"/>
          <w:szCs w:val="24"/>
        </w:rPr>
        <w:t>ronie danych, niezależnie od tego, czy zrealizuje się scenariusz,</w:t>
      </w:r>
      <w:r w:rsidR="00BE7466">
        <w:rPr>
          <w:rFonts w:asciiTheme="minorHAnsi" w:hAnsiTheme="minorHAnsi"/>
          <w:sz w:val="24"/>
          <w:szCs w:val="24"/>
        </w:rPr>
        <w:t xml:space="preserve"> w któ</w:t>
      </w:r>
      <w:r>
        <w:rPr>
          <w:rFonts w:asciiTheme="minorHAnsi" w:hAnsiTheme="minorHAnsi"/>
          <w:sz w:val="24"/>
          <w:szCs w:val="24"/>
        </w:rPr>
        <w:t>rym UE podejmie decyzję</w:t>
      </w:r>
      <w:r w:rsidR="00BE7466">
        <w:rPr>
          <w:rFonts w:asciiTheme="minorHAnsi" w:hAnsiTheme="minorHAnsi"/>
          <w:sz w:val="24"/>
          <w:szCs w:val="24"/>
        </w:rPr>
        <w:t xml:space="preserve"> o odp</w:t>
      </w:r>
      <w:r>
        <w:rPr>
          <w:rFonts w:asciiTheme="minorHAnsi" w:hAnsiTheme="minorHAnsi"/>
          <w:sz w:val="24"/>
          <w:szCs w:val="24"/>
        </w:rPr>
        <w:t>owiednim stopniu ochrony</w:t>
      </w:r>
      <w:r w:rsidR="00BE7466">
        <w:rPr>
          <w:rFonts w:asciiTheme="minorHAnsi" w:hAnsiTheme="minorHAnsi"/>
          <w:sz w:val="24"/>
          <w:szCs w:val="24"/>
        </w:rPr>
        <w:t xml:space="preserve"> w odn</w:t>
      </w:r>
      <w:r>
        <w:rPr>
          <w:rFonts w:asciiTheme="minorHAnsi" w:hAnsiTheme="minorHAnsi"/>
          <w:sz w:val="24"/>
          <w:szCs w:val="24"/>
        </w:rPr>
        <w:t>iesieniu do Zjednoczonego Królestwa. Zgodność można osiągnąć dzięki wprowadzeniu odpowiednich zabezpieczeń przewidzianych</w:t>
      </w:r>
      <w:r w:rsidR="00BE7466">
        <w:rPr>
          <w:rFonts w:asciiTheme="minorHAnsi" w:hAnsiTheme="minorHAnsi"/>
          <w:sz w:val="24"/>
          <w:szCs w:val="24"/>
        </w:rPr>
        <w:t xml:space="preserve"> w ogó</w:t>
      </w:r>
      <w:r>
        <w:rPr>
          <w:rFonts w:asciiTheme="minorHAnsi" w:hAnsiTheme="minorHAnsi"/>
          <w:sz w:val="24"/>
          <w:szCs w:val="24"/>
        </w:rPr>
        <w:t>lnym rozporządzeniu</w:t>
      </w:r>
      <w:r w:rsidR="00BE7466">
        <w:rPr>
          <w:rFonts w:asciiTheme="minorHAnsi" w:hAnsiTheme="minorHAnsi"/>
          <w:sz w:val="24"/>
          <w:szCs w:val="24"/>
        </w:rPr>
        <w:t xml:space="preserve"> o och</w:t>
      </w:r>
      <w:r>
        <w:rPr>
          <w:rFonts w:asciiTheme="minorHAnsi" w:hAnsiTheme="minorHAnsi"/>
          <w:sz w:val="24"/>
          <w:szCs w:val="24"/>
        </w:rPr>
        <w:t>ronie danych,</w:t>
      </w:r>
      <w:r w:rsidR="00BE7466">
        <w:rPr>
          <w:rFonts w:asciiTheme="minorHAnsi" w:hAnsiTheme="minorHAnsi"/>
          <w:sz w:val="24"/>
          <w:szCs w:val="24"/>
        </w:rPr>
        <w:t xml:space="preserve"> w tym</w:t>
      </w:r>
      <w:r>
        <w:rPr>
          <w:rFonts w:asciiTheme="minorHAnsi" w:hAnsiTheme="minorHAnsi"/>
          <w:sz w:val="24"/>
          <w:szCs w:val="24"/>
        </w:rPr>
        <w:t xml:space="preserve"> wiążących reguł korporacyjnych, lub dzięki szczególnym odstępstwom. </w:t>
      </w:r>
    </w:p>
    <w:p w:rsidR="005B5E63" w:rsidRDefault="00B858F1">
      <w:pPr>
        <w:pStyle w:val="Nagwek3"/>
      </w:pPr>
      <w:bookmarkStart w:id="37" w:name="_Toc46137020"/>
      <w:r>
        <w:t>G.3. Nazwa domeny .eu</w:t>
      </w:r>
      <w:bookmarkEnd w:id="37"/>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prawo Unii dotyczące nazw domen</w:t>
      </w:r>
      <w:r w:rsidR="00BE7466">
        <w:rPr>
          <w:rFonts w:asciiTheme="minorHAnsi" w:hAnsiTheme="minorHAnsi"/>
          <w:sz w:val="24"/>
          <w:szCs w:val="24"/>
        </w:rPr>
        <w:t xml:space="preserve"> w ram</w:t>
      </w:r>
      <w:r>
        <w:rPr>
          <w:rFonts w:asciiTheme="minorHAnsi" w:hAnsiTheme="minorHAnsi"/>
          <w:sz w:val="24"/>
          <w:szCs w:val="24"/>
        </w:rPr>
        <w:t>ach domeny najwyższego poziomu .eu ma zastosowanie</w:t>
      </w:r>
      <w:r w:rsidR="00BE7466">
        <w:rPr>
          <w:rFonts w:asciiTheme="minorHAnsi" w:hAnsiTheme="minorHAnsi"/>
          <w:sz w:val="24"/>
          <w:szCs w:val="24"/>
        </w:rPr>
        <w:t xml:space="preserve"> w odn</w:t>
      </w:r>
      <w:r>
        <w:rPr>
          <w:rFonts w:asciiTheme="minorHAnsi" w:hAnsiTheme="minorHAnsi"/>
          <w:sz w:val="24"/>
          <w:szCs w:val="24"/>
        </w:rPr>
        <w:t>iesieniu do Zjednoczonego Królestwa. Przedsiębiorstwa mające siedzibę</w:t>
      </w:r>
      <w:r w:rsidR="00BE7466">
        <w:rPr>
          <w:rFonts w:asciiTheme="minorHAnsi" w:hAnsiTheme="minorHAnsi"/>
          <w:sz w:val="24"/>
          <w:szCs w:val="24"/>
        </w:rPr>
        <w:t xml:space="preserve"> w Zje</w:t>
      </w:r>
      <w:r>
        <w:rPr>
          <w:rFonts w:asciiTheme="minorHAnsi" w:hAnsiTheme="minorHAnsi"/>
          <w:sz w:val="24"/>
          <w:szCs w:val="24"/>
        </w:rPr>
        <w:t>dnoczonym Królestwie oraz obywatele</w:t>
      </w:r>
      <w:r w:rsidR="00BE7466">
        <w:rPr>
          <w:rFonts w:asciiTheme="minorHAnsi" w:hAnsiTheme="minorHAnsi"/>
          <w:sz w:val="24"/>
          <w:szCs w:val="24"/>
        </w:rPr>
        <w:t xml:space="preserve"> i mie</w:t>
      </w:r>
      <w:r>
        <w:rPr>
          <w:rFonts w:asciiTheme="minorHAnsi" w:hAnsiTheme="minorHAnsi"/>
          <w:sz w:val="24"/>
          <w:szCs w:val="24"/>
        </w:rPr>
        <w:t>szkańcy Zjednoczonego Królestwa nadal są uprawnieni do rejestracji</w:t>
      </w:r>
      <w:r w:rsidR="00BE7466">
        <w:rPr>
          <w:rFonts w:asciiTheme="minorHAnsi" w:hAnsiTheme="minorHAnsi"/>
          <w:sz w:val="24"/>
          <w:szCs w:val="24"/>
        </w:rPr>
        <w:t xml:space="preserve"> i pos</w:t>
      </w:r>
      <w:r>
        <w:rPr>
          <w:rFonts w:asciiTheme="minorHAnsi" w:hAnsiTheme="minorHAnsi"/>
          <w:sz w:val="24"/>
          <w:szCs w:val="24"/>
        </w:rPr>
        <w:t>iadania nazw domen .eu.</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przedsiębiorstwa, które mają siedzibę</w:t>
      </w:r>
      <w:r w:rsidR="00BE7466">
        <w:rPr>
          <w:rFonts w:asciiTheme="minorHAnsi" w:hAnsiTheme="minorHAnsi"/>
          <w:sz w:val="24"/>
          <w:szCs w:val="24"/>
        </w:rPr>
        <w:t xml:space="preserve"> w Zje</w:t>
      </w:r>
      <w:r>
        <w:rPr>
          <w:rFonts w:asciiTheme="minorHAnsi" w:hAnsiTheme="minorHAnsi"/>
          <w:sz w:val="24"/>
          <w:szCs w:val="24"/>
        </w:rPr>
        <w:t>dnoczonym Królestwie, ale nie mają jej</w:t>
      </w:r>
      <w:r w:rsidR="00BE7466">
        <w:rPr>
          <w:rFonts w:asciiTheme="minorHAnsi" w:hAnsiTheme="minorHAnsi"/>
          <w:sz w:val="24"/>
          <w:szCs w:val="24"/>
        </w:rPr>
        <w:t xml:space="preserve"> w Uni</w:t>
      </w:r>
      <w:r>
        <w:rPr>
          <w:rFonts w:asciiTheme="minorHAnsi" w:hAnsiTheme="minorHAnsi"/>
          <w:sz w:val="24"/>
          <w:szCs w:val="24"/>
        </w:rPr>
        <w:t>i Europejskiej, ora</w:t>
      </w:r>
      <w:r w:rsidRPr="00C43387">
        <w:rPr>
          <w:rFonts w:asciiTheme="minorHAnsi" w:hAnsiTheme="minorHAnsi"/>
          <w:sz w:val="24"/>
          <w:szCs w:val="24"/>
        </w:rPr>
        <w:t>z</w:t>
      </w:r>
      <w:r w:rsidR="00C43387" w:rsidRPr="00C43387">
        <w:rPr>
          <w:rFonts w:asciiTheme="minorHAnsi" w:hAnsiTheme="minorHAnsi"/>
          <w:sz w:val="24"/>
          <w:szCs w:val="24"/>
        </w:rPr>
        <w:t xml:space="preserve"> </w:t>
      </w:r>
      <w:r w:rsidRPr="00C43387">
        <w:rPr>
          <w:rFonts w:asciiTheme="minorHAnsi" w:hAnsiTheme="minorHAnsi"/>
          <w:sz w:val="24"/>
          <w:szCs w:val="24"/>
        </w:rPr>
        <w:t>o</w:t>
      </w:r>
      <w:r>
        <w:rPr>
          <w:rFonts w:asciiTheme="minorHAnsi" w:hAnsiTheme="minorHAnsi"/>
          <w:sz w:val="24"/>
          <w:szCs w:val="24"/>
        </w:rPr>
        <w:t>soby zamieszkujące</w:t>
      </w:r>
      <w:r w:rsidR="00BE7466">
        <w:rPr>
          <w:rFonts w:asciiTheme="minorHAnsi" w:hAnsiTheme="minorHAnsi"/>
          <w:sz w:val="24"/>
          <w:szCs w:val="24"/>
        </w:rPr>
        <w:t xml:space="preserve"> w Zje</w:t>
      </w:r>
      <w:r>
        <w:rPr>
          <w:rFonts w:asciiTheme="minorHAnsi" w:hAnsiTheme="minorHAnsi"/>
          <w:sz w:val="24"/>
          <w:szCs w:val="24"/>
        </w:rPr>
        <w:t xml:space="preserve">dnoczonym Królestwie, które nie są obywatelami UE, nie będą już kwalifikować się do rejestracji lub posiadania takich nazw domen. </w:t>
      </w:r>
    </w:p>
    <w:p w:rsidR="005B5E63" w:rsidRDefault="00B858F1">
      <w:pPr>
        <w:jc w:val="both"/>
        <w:rPr>
          <w:rFonts w:asciiTheme="minorHAnsi" w:hAnsiTheme="minorHAnsi" w:cstheme="minorHAnsi"/>
          <w:sz w:val="24"/>
        </w:rPr>
      </w:pPr>
      <w:r>
        <w:rPr>
          <w:rFonts w:asciiTheme="minorHAnsi" w:hAnsiTheme="minorHAnsi"/>
          <w:sz w:val="24"/>
        </w:rPr>
        <w:t>Jeżeli osoby te nie będą</w:t>
      </w:r>
      <w:r w:rsidR="00BE7466">
        <w:rPr>
          <w:rFonts w:asciiTheme="minorHAnsi" w:hAnsiTheme="minorHAnsi"/>
          <w:sz w:val="24"/>
        </w:rPr>
        <w:t xml:space="preserve"> w sta</w:t>
      </w:r>
      <w:r>
        <w:rPr>
          <w:rFonts w:asciiTheme="minorHAnsi" w:hAnsiTheme="minorHAnsi"/>
          <w:sz w:val="24"/>
        </w:rPr>
        <w:t>nie wykazać, że nadal kwalifikują się do bycia posiadaczami nazw domen .eu, ich nazwy domen zostaną wycofane</w:t>
      </w:r>
      <w:r>
        <w:rPr>
          <w:rFonts w:asciiTheme="minorHAnsi" w:hAnsiTheme="minorHAnsi" w:cstheme="minorHAnsi"/>
          <w:sz w:val="24"/>
          <w:vertAlign w:val="superscript"/>
        </w:rPr>
        <w:footnoteReference w:id="33"/>
      </w:r>
      <w:r>
        <w:rPr>
          <w:rFonts w:asciiTheme="minorHAnsi" w:hAnsiTheme="minorHAnsi"/>
          <w:sz w:val="24"/>
        </w:rPr>
        <w:t xml:space="preserve"> po zakończeniu okresu przejściowego. Obywatele UE mieszkający</w:t>
      </w:r>
      <w:r w:rsidR="00BE7466">
        <w:rPr>
          <w:rFonts w:asciiTheme="minorHAnsi" w:hAnsiTheme="minorHAnsi"/>
          <w:sz w:val="24"/>
        </w:rPr>
        <w:t xml:space="preserve"> w Zje</w:t>
      </w:r>
      <w:r>
        <w:rPr>
          <w:rFonts w:asciiTheme="minorHAnsi" w:hAnsiTheme="minorHAnsi"/>
          <w:sz w:val="24"/>
        </w:rPr>
        <w:t>dnoczonym Królestwie będą jednak mogli posiadać nazwy domen .eu lub rejestrować nowe, nawet po zakończeniu okresu przejściowego.</w:t>
      </w:r>
    </w:p>
    <w:p w:rsidR="005B5E63" w:rsidRDefault="00B858F1">
      <w:pPr>
        <w:pStyle w:val="Nagwek2"/>
        <w:rPr>
          <w:rFonts w:cstheme="minorHAnsi"/>
        </w:rPr>
      </w:pPr>
      <w:bookmarkStart w:id="38" w:name="_Toc46137021"/>
      <w:r>
        <w:t>Umowy międzynarodowe Unii Europejskiej</w:t>
      </w:r>
      <w:bookmarkEnd w:id="38"/>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okresie przejściowym Zjednoczone Królestwo nadal jest związane umowami międzynarodowymi zawartymi przez Unię Europejską. Ponadto Unia Europejska poinformowała swoich partnerów międzynarodowych, że do celów tych umów Zjednoczone Królestwo jest traktowane</w:t>
      </w:r>
      <w:r w:rsidR="00BE7466">
        <w:rPr>
          <w:rFonts w:asciiTheme="minorHAnsi" w:hAnsiTheme="minorHAnsi"/>
          <w:sz w:val="24"/>
          <w:szCs w:val="24"/>
        </w:rPr>
        <w:t xml:space="preserve"> w okr</w:t>
      </w:r>
      <w:r>
        <w:rPr>
          <w:rFonts w:asciiTheme="minorHAnsi" w:hAnsiTheme="minorHAnsi"/>
          <w:sz w:val="24"/>
          <w:szCs w:val="24"/>
        </w:rPr>
        <w:t>esie przejściowym jak państwo członkowskie.</w:t>
      </w:r>
    </w:p>
    <w:p w:rsidR="005B5E63" w:rsidRDefault="00B858F1">
      <w:pPr>
        <w:spacing w:after="120"/>
        <w:jc w:val="both"/>
        <w:rPr>
          <w:rFonts w:asciiTheme="minorHAnsi" w:hAnsiTheme="minorHAnsi" w:cstheme="minorHAnsi"/>
          <w:sz w:val="24"/>
          <w:szCs w:val="24"/>
        </w:rPr>
      </w:pPr>
      <w:r>
        <w:rPr>
          <w:rFonts w:asciiTheme="minorHAnsi" w:hAnsiTheme="minorHAnsi"/>
          <w:b/>
          <w:sz w:val="24"/>
          <w:szCs w:val="24"/>
        </w:rPr>
        <w:t>Od dnia 1 stycznia 20</w:t>
      </w:r>
      <w:r w:rsidRPr="00C43387">
        <w:rPr>
          <w:rFonts w:asciiTheme="minorHAnsi" w:hAnsiTheme="minorHAnsi"/>
          <w:b/>
          <w:sz w:val="24"/>
          <w:szCs w:val="24"/>
        </w:rPr>
        <w:t>21</w:t>
      </w:r>
      <w:r w:rsidR="00C43387" w:rsidRPr="00C43387">
        <w:rPr>
          <w:rFonts w:asciiTheme="minorHAnsi" w:hAnsiTheme="minorHAnsi"/>
          <w:b/>
          <w:sz w:val="24"/>
          <w:szCs w:val="24"/>
        </w:rPr>
        <w:t> </w:t>
      </w:r>
      <w:r w:rsidRPr="00C43387">
        <w:rPr>
          <w:rFonts w:asciiTheme="minorHAnsi" w:hAnsiTheme="minorHAnsi"/>
          <w:b/>
          <w:sz w:val="24"/>
          <w:szCs w:val="24"/>
        </w:rPr>
        <w:t>r.</w:t>
      </w:r>
      <w:r>
        <w:rPr>
          <w:rFonts w:asciiTheme="minorHAnsi" w:hAnsiTheme="minorHAnsi"/>
          <w:sz w:val="24"/>
          <w:szCs w:val="24"/>
        </w:rPr>
        <w:t xml:space="preserve"> Zjednoczone Królestwo nie będzie już objęte umowami zawartymi przez Unię lub przez państwa członkowskie działające</w:t>
      </w:r>
      <w:r w:rsidR="00BE7466">
        <w:rPr>
          <w:rFonts w:asciiTheme="minorHAnsi" w:hAnsiTheme="minorHAnsi"/>
          <w:sz w:val="24"/>
          <w:szCs w:val="24"/>
        </w:rPr>
        <w:t xml:space="preserve"> w imi</w:t>
      </w:r>
      <w:r>
        <w:rPr>
          <w:rFonts w:asciiTheme="minorHAnsi" w:hAnsiTheme="minorHAnsi"/>
          <w:sz w:val="24"/>
          <w:szCs w:val="24"/>
        </w:rPr>
        <w:t xml:space="preserve">eniu Unii ani umowami </w:t>
      </w:r>
      <w:r>
        <w:rPr>
          <w:rFonts w:asciiTheme="minorHAnsi" w:hAnsiTheme="minorHAnsi"/>
          <w:sz w:val="24"/>
          <w:szCs w:val="24"/>
        </w:rPr>
        <w:lastRenderedPageBreak/>
        <w:t>zawartymi wspólnie przez Unię</w:t>
      </w:r>
      <w:r w:rsidR="00BE7466">
        <w:rPr>
          <w:rFonts w:asciiTheme="minorHAnsi" w:hAnsiTheme="minorHAnsi"/>
          <w:sz w:val="24"/>
          <w:szCs w:val="24"/>
        </w:rPr>
        <w:t xml:space="preserve"> i jej</w:t>
      </w:r>
      <w:r>
        <w:rPr>
          <w:rFonts w:asciiTheme="minorHAnsi" w:hAnsiTheme="minorHAnsi"/>
          <w:sz w:val="24"/>
          <w:szCs w:val="24"/>
        </w:rPr>
        <w:t xml:space="preserve"> państwa członkowskie. Unia Europejska poinformowała swoich partnerów międzynarodowych</w:t>
      </w:r>
      <w:r w:rsidR="00BE7466">
        <w:rPr>
          <w:rFonts w:asciiTheme="minorHAnsi" w:hAnsiTheme="minorHAnsi"/>
          <w:sz w:val="24"/>
          <w:szCs w:val="24"/>
        </w:rPr>
        <w:t xml:space="preserve"> o kon</w:t>
      </w:r>
      <w:r>
        <w:rPr>
          <w:rFonts w:asciiTheme="minorHAnsi" w:hAnsiTheme="minorHAnsi"/>
          <w:sz w:val="24"/>
          <w:szCs w:val="24"/>
        </w:rPr>
        <w:t>sekwencjach wystąpienia Zjednoczonego Królestwa</w:t>
      </w:r>
      <w:r w:rsidR="00BE7466">
        <w:rPr>
          <w:rFonts w:asciiTheme="minorHAnsi" w:hAnsiTheme="minorHAnsi"/>
          <w:sz w:val="24"/>
          <w:szCs w:val="24"/>
        </w:rPr>
        <w:t xml:space="preserve"> z Uni</w:t>
      </w:r>
      <w:r>
        <w:rPr>
          <w:rFonts w:asciiTheme="minorHAnsi" w:hAnsiTheme="minorHAnsi"/>
          <w:sz w:val="24"/>
          <w:szCs w:val="24"/>
        </w:rPr>
        <w:t>i Europejskiej</w:t>
      </w:r>
      <w:r w:rsidR="00BE7466">
        <w:rPr>
          <w:rFonts w:asciiTheme="minorHAnsi" w:hAnsiTheme="minorHAnsi"/>
          <w:sz w:val="24"/>
          <w:szCs w:val="24"/>
        </w:rPr>
        <w:t xml:space="preserve"> w dro</w:t>
      </w:r>
      <w:r>
        <w:rPr>
          <w:rFonts w:asciiTheme="minorHAnsi" w:hAnsiTheme="minorHAnsi"/>
          <w:sz w:val="24"/>
          <w:szCs w:val="24"/>
        </w:rPr>
        <w:t>dze „noty werbalnej” przesłanej po podpisaniu umowy</w:t>
      </w:r>
      <w:r w:rsidR="00BE7466">
        <w:rPr>
          <w:rFonts w:asciiTheme="minorHAnsi" w:hAnsiTheme="minorHAnsi"/>
          <w:sz w:val="24"/>
          <w:szCs w:val="24"/>
        </w:rPr>
        <w:t xml:space="preserve"> o wys</w:t>
      </w:r>
      <w:r>
        <w:rPr>
          <w:rFonts w:asciiTheme="minorHAnsi" w:hAnsiTheme="minorHAnsi"/>
          <w:sz w:val="24"/>
          <w:szCs w:val="24"/>
        </w:rPr>
        <w:t>tąpieniu</w:t>
      </w:r>
      <w:r>
        <w:rPr>
          <w:rStyle w:val="Odwoanieprzypisudolnego"/>
          <w:rFonts w:asciiTheme="minorHAnsi" w:hAnsiTheme="minorHAnsi" w:cstheme="minorHAnsi"/>
          <w:sz w:val="24"/>
          <w:szCs w:val="24"/>
        </w:rPr>
        <w:footnoteReference w:id="34"/>
      </w:r>
      <w:r>
        <w:rPr>
          <w:rFonts w:asciiTheme="minorHAnsi" w:hAnsiTheme="minorHAnsi"/>
          <w:sz w:val="24"/>
          <w:szCs w:val="24"/>
        </w:rPr>
        <w:t>.</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W związku</w:t>
      </w:r>
      <w:r w:rsidR="00BE7466">
        <w:rPr>
          <w:rFonts w:asciiTheme="minorHAnsi" w:hAnsiTheme="minorHAnsi"/>
          <w:sz w:val="24"/>
          <w:szCs w:val="24"/>
        </w:rPr>
        <w:t xml:space="preserve"> z tym</w:t>
      </w:r>
      <w:r>
        <w:rPr>
          <w:rFonts w:asciiTheme="minorHAnsi" w:hAnsiTheme="minorHAnsi"/>
          <w:sz w:val="24"/>
          <w:szCs w:val="24"/>
        </w:rPr>
        <w:t xml:space="preserve"> Zjednoczone Królestwo,</w:t>
      </w:r>
      <w:r w:rsidR="00BE7466">
        <w:rPr>
          <w:rFonts w:asciiTheme="minorHAnsi" w:hAnsiTheme="minorHAnsi"/>
          <w:sz w:val="24"/>
          <w:szCs w:val="24"/>
        </w:rPr>
        <w:t xml:space="preserve"> w tym</w:t>
      </w:r>
      <w:r>
        <w:rPr>
          <w:rFonts w:asciiTheme="minorHAnsi" w:hAnsiTheme="minorHAnsi"/>
          <w:sz w:val="24"/>
          <w:szCs w:val="24"/>
        </w:rPr>
        <w:t xml:space="preserve"> obywatele</w:t>
      </w:r>
      <w:r w:rsidR="00BE7466">
        <w:rPr>
          <w:rFonts w:asciiTheme="minorHAnsi" w:hAnsiTheme="minorHAnsi"/>
          <w:sz w:val="24"/>
          <w:szCs w:val="24"/>
        </w:rPr>
        <w:t xml:space="preserve"> i pod</w:t>
      </w:r>
      <w:r>
        <w:rPr>
          <w:rFonts w:asciiTheme="minorHAnsi" w:hAnsiTheme="minorHAnsi"/>
          <w:sz w:val="24"/>
          <w:szCs w:val="24"/>
        </w:rPr>
        <w:t>mioty gospodarcze ze Zjednoczonego Królestwa, nie będzie już mogło odnosić korzyści</w:t>
      </w:r>
      <w:r w:rsidR="00BE7466">
        <w:rPr>
          <w:rFonts w:asciiTheme="minorHAnsi" w:hAnsiTheme="minorHAnsi"/>
          <w:sz w:val="24"/>
          <w:szCs w:val="24"/>
        </w:rPr>
        <w:t xml:space="preserve"> z kil</w:t>
      </w:r>
      <w:r>
        <w:rPr>
          <w:rFonts w:asciiTheme="minorHAnsi" w:hAnsiTheme="minorHAnsi"/>
          <w:sz w:val="24"/>
          <w:szCs w:val="24"/>
        </w:rPr>
        <w:t>kuset umów międzynarodowych Unii, takich jak umowy</w:t>
      </w:r>
      <w:r w:rsidR="00BE7466">
        <w:rPr>
          <w:rFonts w:asciiTheme="minorHAnsi" w:hAnsiTheme="minorHAnsi"/>
          <w:sz w:val="24"/>
          <w:szCs w:val="24"/>
        </w:rPr>
        <w:t xml:space="preserve"> o wol</w:t>
      </w:r>
      <w:r>
        <w:rPr>
          <w:rFonts w:asciiTheme="minorHAnsi" w:hAnsiTheme="minorHAnsi"/>
          <w:sz w:val="24"/>
          <w:szCs w:val="24"/>
        </w:rPr>
        <w:t>nym handlu, umowy</w:t>
      </w:r>
      <w:r w:rsidR="00BE7466">
        <w:rPr>
          <w:rFonts w:asciiTheme="minorHAnsi" w:hAnsiTheme="minorHAnsi"/>
          <w:sz w:val="24"/>
          <w:szCs w:val="24"/>
        </w:rPr>
        <w:t xml:space="preserve"> o wza</w:t>
      </w:r>
      <w:r>
        <w:rPr>
          <w:rFonts w:asciiTheme="minorHAnsi" w:hAnsiTheme="minorHAnsi"/>
          <w:sz w:val="24"/>
          <w:szCs w:val="24"/>
        </w:rPr>
        <w:t>jemnym uznaniu, umowy weterynaryjne lub umowy dwustronne dotyczące transportu lotniczego lub bezpieczeństwa lotniczego. Przedsiębiorstwa mające siedzibę</w:t>
      </w:r>
      <w:r w:rsidR="00BE7466">
        <w:rPr>
          <w:rFonts w:asciiTheme="minorHAnsi" w:hAnsiTheme="minorHAnsi"/>
          <w:sz w:val="24"/>
          <w:szCs w:val="24"/>
        </w:rPr>
        <w:t xml:space="preserve"> w Uni</w:t>
      </w:r>
      <w:r>
        <w:rPr>
          <w:rFonts w:asciiTheme="minorHAnsi" w:hAnsiTheme="minorHAnsi"/>
          <w:sz w:val="24"/>
          <w:szCs w:val="24"/>
        </w:rPr>
        <w:t xml:space="preserve">i będą oczywiście nadal korzystać ze wszystkich obowiązujących umów międzynarodowych Unii. </w:t>
      </w:r>
    </w:p>
    <w:p w:rsidR="005B5E63" w:rsidRDefault="00B858F1">
      <w:pPr>
        <w:spacing w:after="120"/>
        <w:jc w:val="both"/>
        <w:rPr>
          <w:rFonts w:asciiTheme="minorHAnsi" w:hAnsiTheme="minorHAnsi" w:cstheme="minorHAnsi"/>
          <w:sz w:val="24"/>
          <w:szCs w:val="24"/>
        </w:rPr>
      </w:pPr>
      <w:r>
        <w:rPr>
          <w:rFonts w:asciiTheme="minorHAnsi" w:hAnsiTheme="minorHAnsi"/>
          <w:sz w:val="24"/>
          <w:szCs w:val="24"/>
        </w:rPr>
        <w:t>Nie narusza to statusu Zjednoczonego Królestwa</w:t>
      </w:r>
      <w:r w:rsidR="00BE7466">
        <w:rPr>
          <w:rFonts w:asciiTheme="minorHAnsi" w:hAnsiTheme="minorHAnsi"/>
          <w:sz w:val="24"/>
          <w:szCs w:val="24"/>
        </w:rPr>
        <w:t xml:space="preserve"> w odn</w:t>
      </w:r>
      <w:r>
        <w:rPr>
          <w:rFonts w:asciiTheme="minorHAnsi" w:hAnsiTheme="minorHAnsi"/>
          <w:sz w:val="24"/>
          <w:szCs w:val="24"/>
        </w:rPr>
        <w:t>iesieniu do wielostronnych umów, do których przystąpiło ono jako strona samodzielnie. Zjednoczone Królestwo pozostanie na przykład samodzielnym członkiem Światowej Organizacji Handlu</w:t>
      </w:r>
      <w:r w:rsidR="00BE7466">
        <w:rPr>
          <w:rFonts w:asciiTheme="minorHAnsi" w:hAnsiTheme="minorHAnsi"/>
          <w:sz w:val="24"/>
          <w:szCs w:val="24"/>
        </w:rPr>
        <w:t xml:space="preserve"> i będ</w:t>
      </w:r>
      <w:r>
        <w:rPr>
          <w:rFonts w:asciiTheme="minorHAnsi" w:hAnsiTheme="minorHAnsi"/>
          <w:sz w:val="24"/>
          <w:szCs w:val="24"/>
        </w:rPr>
        <w:t>zie objęte odpowiednimi porozumieniami Światowej Organizacji Handlu, zwłaszcza</w:t>
      </w:r>
      <w:r w:rsidR="00BE7466">
        <w:rPr>
          <w:rFonts w:asciiTheme="minorHAnsi" w:hAnsiTheme="minorHAnsi"/>
          <w:sz w:val="24"/>
          <w:szCs w:val="24"/>
        </w:rPr>
        <w:t xml:space="preserve"> w odn</w:t>
      </w:r>
      <w:r>
        <w:rPr>
          <w:rFonts w:asciiTheme="minorHAnsi" w:hAnsiTheme="minorHAnsi"/>
          <w:sz w:val="24"/>
          <w:szCs w:val="24"/>
        </w:rPr>
        <w:t>iesieniu do swoich koncesji</w:t>
      </w:r>
      <w:r w:rsidR="00BE7466">
        <w:rPr>
          <w:rFonts w:asciiTheme="minorHAnsi" w:hAnsiTheme="minorHAnsi"/>
          <w:sz w:val="24"/>
          <w:szCs w:val="24"/>
        </w:rPr>
        <w:t xml:space="preserve"> i zob</w:t>
      </w:r>
      <w:r>
        <w:rPr>
          <w:rFonts w:asciiTheme="minorHAnsi" w:hAnsiTheme="minorHAnsi"/>
          <w:sz w:val="24"/>
          <w:szCs w:val="24"/>
        </w:rPr>
        <w:t xml:space="preserve">owiązań dotyczących handlu towarami, usługami lub prawami własności intelektualnej. </w:t>
      </w:r>
    </w:p>
    <w:p w:rsidR="005B5E63" w:rsidRPr="00C43387" w:rsidRDefault="00B858F1">
      <w:pPr>
        <w:spacing w:after="0"/>
        <w:rPr>
          <w:rFonts w:asciiTheme="minorHAnsi" w:eastAsiaTheme="majorEastAsia" w:hAnsiTheme="minorHAnsi" w:cstheme="minorHAnsi"/>
          <w:b/>
          <w:sz w:val="32"/>
          <w:szCs w:val="32"/>
        </w:rPr>
      </w:pPr>
      <w:bookmarkStart w:id="39" w:name="_Ref34385102"/>
      <w:bookmarkStart w:id="40" w:name="_Ref34385782"/>
      <w:r>
        <w:br w:type="page"/>
      </w:r>
    </w:p>
    <w:p w:rsidR="005B5E63" w:rsidRDefault="00B858F1">
      <w:pPr>
        <w:pStyle w:val="Nagwek1"/>
        <w:rPr>
          <w:rFonts w:cstheme="minorHAnsi"/>
        </w:rPr>
      </w:pPr>
      <w:bookmarkStart w:id="41" w:name="_Toc46137022"/>
      <w:bookmarkEnd w:id="39"/>
      <w:bookmarkEnd w:id="40"/>
      <w:r w:rsidRPr="00C43387">
        <w:lastRenderedPageBreak/>
        <w:t>P</w:t>
      </w:r>
      <w:r>
        <w:t>rzygotowanie na każdy scenariusz</w:t>
      </w:r>
      <w:bookmarkEnd w:id="41"/>
    </w:p>
    <w:p w:rsidR="005B5E63" w:rsidRDefault="00B858F1">
      <w:pPr>
        <w:jc w:val="both"/>
        <w:rPr>
          <w:rFonts w:asciiTheme="minorHAnsi" w:hAnsiTheme="minorHAnsi" w:cstheme="minorHAnsi"/>
          <w:sz w:val="24"/>
        </w:rPr>
      </w:pPr>
      <w:r>
        <w:rPr>
          <w:rFonts w:asciiTheme="minorHAnsi" w:hAnsiTheme="minorHAnsi"/>
          <w:b/>
          <w:sz w:val="24"/>
        </w:rPr>
        <w:t>Zmiany opisane</w:t>
      </w:r>
      <w:r w:rsidR="00BE7466">
        <w:rPr>
          <w:rFonts w:asciiTheme="minorHAnsi" w:hAnsiTheme="minorHAnsi"/>
          <w:b/>
          <w:sz w:val="24"/>
        </w:rPr>
        <w:t xml:space="preserve"> w czę</w:t>
      </w:r>
      <w:r>
        <w:rPr>
          <w:rFonts w:asciiTheme="minorHAnsi" w:hAnsiTheme="minorHAnsi"/>
          <w:b/>
          <w:sz w:val="24"/>
        </w:rPr>
        <w:t>ści II niniejszego komunikatu nastąpią</w:t>
      </w:r>
      <w:r w:rsidR="00BE7466">
        <w:rPr>
          <w:rFonts w:asciiTheme="minorHAnsi" w:hAnsiTheme="minorHAnsi"/>
          <w:b/>
          <w:sz w:val="24"/>
        </w:rPr>
        <w:t xml:space="preserve"> w każ</w:t>
      </w:r>
      <w:r>
        <w:rPr>
          <w:rFonts w:asciiTheme="minorHAnsi" w:hAnsiTheme="minorHAnsi"/>
          <w:b/>
          <w:sz w:val="24"/>
        </w:rPr>
        <w:t>dym przypadku</w:t>
      </w:r>
      <w:r>
        <w:rPr>
          <w:rFonts w:asciiTheme="minorHAnsi" w:hAnsiTheme="minorHAnsi"/>
          <w:sz w:val="24"/>
        </w:rPr>
        <w:t>, niezależnie od tego, czy Unia Europejska</w:t>
      </w:r>
      <w:r w:rsidR="00BE7466">
        <w:rPr>
          <w:rFonts w:asciiTheme="minorHAnsi" w:hAnsiTheme="minorHAnsi"/>
          <w:sz w:val="24"/>
        </w:rPr>
        <w:t xml:space="preserve"> i </w:t>
      </w:r>
      <w:r w:rsidR="00BE7466">
        <w:rPr>
          <w:rFonts w:asciiTheme="minorHAnsi" w:hAnsiTheme="minorHAnsi"/>
          <w:sz w:val="24"/>
          <w:szCs w:val="24"/>
        </w:rPr>
        <w:t>Zje</w:t>
      </w:r>
      <w:r>
        <w:rPr>
          <w:rFonts w:asciiTheme="minorHAnsi" w:hAnsiTheme="minorHAnsi"/>
          <w:sz w:val="24"/>
          <w:szCs w:val="24"/>
        </w:rPr>
        <w:t xml:space="preserve">dnoczone Królestwo </w:t>
      </w:r>
      <w:r>
        <w:rPr>
          <w:rFonts w:asciiTheme="minorHAnsi" w:hAnsiTheme="minorHAnsi"/>
          <w:sz w:val="24"/>
        </w:rPr>
        <w:t>osiągną porozumienie</w:t>
      </w:r>
      <w:r w:rsidR="00BE7466">
        <w:rPr>
          <w:rFonts w:asciiTheme="minorHAnsi" w:hAnsiTheme="minorHAnsi"/>
          <w:sz w:val="24"/>
        </w:rPr>
        <w:t xml:space="preserve"> w spr</w:t>
      </w:r>
      <w:r>
        <w:rPr>
          <w:rFonts w:asciiTheme="minorHAnsi" w:hAnsiTheme="minorHAnsi"/>
          <w:sz w:val="24"/>
        </w:rPr>
        <w:t>awie nowego, ambitnego partnerstwa do dnia 31 grudnia 20</w:t>
      </w:r>
      <w:r w:rsidRPr="00C43387">
        <w:rPr>
          <w:rFonts w:asciiTheme="minorHAnsi" w:hAnsiTheme="minorHAnsi"/>
          <w:sz w:val="24"/>
        </w:rPr>
        <w:t>20</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czy nie. </w:t>
      </w:r>
    </w:p>
    <w:p w:rsidR="005B5E63" w:rsidRDefault="00B858F1">
      <w:pPr>
        <w:jc w:val="both"/>
        <w:rPr>
          <w:rFonts w:asciiTheme="minorHAnsi" w:hAnsiTheme="minorHAnsi" w:cstheme="minorHAnsi"/>
          <w:sz w:val="24"/>
        </w:rPr>
      </w:pPr>
      <w:r>
        <w:rPr>
          <w:rFonts w:asciiTheme="minorHAnsi" w:hAnsiTheme="minorHAnsi"/>
          <w:sz w:val="24"/>
        </w:rPr>
        <w:t>Oczywiste jest jednak, że brak porozumienia doprowadziłby do zakłóceń, które byłyby bardziej dalekosiężne niż zmiany przedstawione</w:t>
      </w:r>
      <w:r w:rsidR="00BE7466">
        <w:rPr>
          <w:rFonts w:asciiTheme="minorHAnsi" w:hAnsiTheme="minorHAnsi"/>
          <w:sz w:val="24"/>
        </w:rPr>
        <w:t xml:space="preserve"> w czę</w:t>
      </w:r>
      <w:r>
        <w:rPr>
          <w:rFonts w:asciiTheme="minorHAnsi" w:hAnsiTheme="minorHAnsi"/>
          <w:sz w:val="24"/>
        </w:rPr>
        <w:t>ści II</w:t>
      </w:r>
      <w:r w:rsidR="00BE7466">
        <w:rPr>
          <w:rFonts w:asciiTheme="minorHAnsi" w:hAnsiTheme="minorHAnsi"/>
          <w:sz w:val="24"/>
        </w:rPr>
        <w:t>. W prz</w:t>
      </w:r>
      <w:r>
        <w:rPr>
          <w:rFonts w:asciiTheme="minorHAnsi" w:hAnsiTheme="minorHAnsi"/>
          <w:sz w:val="24"/>
        </w:rPr>
        <w:t>ypadku braku porozumienia</w:t>
      </w:r>
      <w:r w:rsidR="00BE7466">
        <w:rPr>
          <w:rFonts w:asciiTheme="minorHAnsi" w:hAnsiTheme="minorHAnsi"/>
          <w:sz w:val="24"/>
        </w:rPr>
        <w:t xml:space="preserve"> w odn</w:t>
      </w:r>
      <w:r>
        <w:rPr>
          <w:rFonts w:asciiTheme="minorHAnsi" w:hAnsiTheme="minorHAnsi"/>
          <w:sz w:val="24"/>
        </w:rPr>
        <w:t>iesieniu do wywozu strony stosowałyby wobec siebie stawkę należności celnych stosowaną względem kraju najbardziej uprzywilejowanego; oznacza to, że towary przywożone ze Zjednoczonego Królestwa do Unii byłyby objęte unijną „wspólną taryfą celną”, natomiast towary przywożone</w:t>
      </w:r>
      <w:r w:rsidR="00BE7466">
        <w:rPr>
          <w:rFonts w:asciiTheme="minorHAnsi" w:hAnsiTheme="minorHAnsi"/>
          <w:sz w:val="24"/>
        </w:rPr>
        <w:t xml:space="preserve"> z Uni</w:t>
      </w:r>
      <w:r>
        <w:rPr>
          <w:rFonts w:asciiTheme="minorHAnsi" w:hAnsiTheme="minorHAnsi"/>
          <w:sz w:val="24"/>
        </w:rPr>
        <w:t>i do Zjednoczonego Królestwa podlegałyby taryfom Zjednoczonego Królestwa</w:t>
      </w:r>
      <w:r>
        <w:rPr>
          <w:rStyle w:val="Odwoanieprzypisudolnego"/>
          <w:rFonts w:asciiTheme="minorHAnsi" w:hAnsiTheme="minorHAnsi" w:cstheme="minorHAnsi"/>
          <w:sz w:val="24"/>
        </w:rPr>
        <w:footnoteReference w:id="35"/>
      </w:r>
      <w:r>
        <w:rPr>
          <w:rFonts w:asciiTheme="minorHAnsi" w:hAnsiTheme="minorHAnsi"/>
          <w:sz w:val="24"/>
        </w:rPr>
        <w:t xml:space="preserve">. </w:t>
      </w:r>
    </w:p>
    <w:p w:rsidR="005B5E63" w:rsidRDefault="00B858F1">
      <w:pPr>
        <w:jc w:val="both"/>
        <w:rPr>
          <w:rFonts w:asciiTheme="minorHAnsi" w:hAnsiTheme="minorHAnsi" w:cstheme="minorHAnsi"/>
          <w:sz w:val="24"/>
        </w:rPr>
      </w:pPr>
      <w:r>
        <w:rPr>
          <w:rFonts w:asciiTheme="minorHAnsi" w:hAnsiTheme="minorHAnsi"/>
          <w:sz w:val="24"/>
        </w:rPr>
        <w:t>Celem niniejszego komunikatu nie jest przesądzenie</w:t>
      </w:r>
      <w:r w:rsidR="00BE7466">
        <w:rPr>
          <w:rFonts w:asciiTheme="minorHAnsi" w:hAnsiTheme="minorHAnsi"/>
          <w:sz w:val="24"/>
        </w:rPr>
        <w:t xml:space="preserve"> o wyn</w:t>
      </w:r>
      <w:r>
        <w:rPr>
          <w:rFonts w:asciiTheme="minorHAnsi" w:hAnsiTheme="minorHAnsi"/>
          <w:sz w:val="24"/>
        </w:rPr>
        <w:t>iku trwających negocjacji między Unią Europejską</w:t>
      </w:r>
      <w:r w:rsidR="00BE7466">
        <w:rPr>
          <w:rFonts w:asciiTheme="minorHAnsi" w:hAnsiTheme="minorHAnsi"/>
          <w:sz w:val="24"/>
        </w:rPr>
        <w:t xml:space="preserve"> a Zje</w:t>
      </w:r>
      <w:r>
        <w:rPr>
          <w:rFonts w:asciiTheme="minorHAnsi" w:hAnsiTheme="minorHAnsi"/>
          <w:sz w:val="24"/>
        </w:rPr>
        <w:t>dnoczonym Królestwem</w:t>
      </w:r>
      <w:r w:rsidR="00BE7466">
        <w:rPr>
          <w:rFonts w:asciiTheme="minorHAnsi" w:hAnsiTheme="minorHAnsi"/>
          <w:sz w:val="24"/>
        </w:rPr>
        <w:t>. W tym</w:t>
      </w:r>
      <w:r>
        <w:rPr>
          <w:rFonts w:asciiTheme="minorHAnsi" w:hAnsiTheme="minorHAnsi"/>
          <w:sz w:val="24"/>
        </w:rPr>
        <w:t xml:space="preserve"> względzie skoncentrowano się</w:t>
      </w:r>
      <w:r w:rsidR="00BE7466">
        <w:rPr>
          <w:rFonts w:asciiTheme="minorHAnsi" w:hAnsiTheme="minorHAnsi"/>
          <w:sz w:val="24"/>
        </w:rPr>
        <w:t xml:space="preserve"> w nim</w:t>
      </w:r>
      <w:r>
        <w:rPr>
          <w:rFonts w:asciiTheme="minorHAnsi" w:hAnsiTheme="minorHAnsi"/>
          <w:sz w:val="24"/>
        </w:rPr>
        <w:t xml:space="preserve"> głównie na</w:t>
      </w:r>
      <w:r>
        <w:rPr>
          <w:rFonts w:asciiTheme="minorHAnsi" w:hAnsiTheme="minorHAnsi"/>
          <w:sz w:val="24"/>
          <w:szCs w:val="24"/>
        </w:rPr>
        <w:t xml:space="preserve"> kwestiach, które nie są obecnie przedmiotem negocjacji. </w:t>
      </w:r>
      <w:r>
        <w:rPr>
          <w:rFonts w:asciiTheme="minorHAnsi" w:hAnsiTheme="minorHAnsi"/>
          <w:sz w:val="24"/>
        </w:rPr>
        <w:t>Komisja przyznaje, że dla organów administracji publicznej, obywateli, przedsiębiorstw</w:t>
      </w:r>
      <w:r w:rsidR="00BE7466">
        <w:rPr>
          <w:rFonts w:asciiTheme="minorHAnsi" w:hAnsiTheme="minorHAnsi"/>
          <w:sz w:val="24"/>
        </w:rPr>
        <w:t xml:space="preserve"> i inn</w:t>
      </w:r>
      <w:r>
        <w:rPr>
          <w:rFonts w:asciiTheme="minorHAnsi" w:hAnsiTheme="minorHAnsi"/>
          <w:sz w:val="24"/>
        </w:rPr>
        <w:t>ych zainteresowanych stron</w:t>
      </w:r>
      <w:r w:rsidR="00BE7466">
        <w:rPr>
          <w:rFonts w:asciiTheme="minorHAnsi" w:hAnsiTheme="minorHAnsi"/>
          <w:sz w:val="24"/>
        </w:rPr>
        <w:t xml:space="preserve"> w cał</w:t>
      </w:r>
      <w:r>
        <w:rPr>
          <w:rFonts w:asciiTheme="minorHAnsi" w:hAnsiTheme="minorHAnsi"/>
          <w:sz w:val="24"/>
        </w:rPr>
        <w:t>ej gospodarce</w:t>
      </w:r>
      <w:r w:rsidR="00BE7466">
        <w:rPr>
          <w:rFonts w:asciiTheme="minorHAnsi" w:hAnsiTheme="minorHAnsi"/>
          <w:sz w:val="24"/>
        </w:rPr>
        <w:t xml:space="preserve"> i spo</w:t>
      </w:r>
      <w:r>
        <w:rPr>
          <w:rFonts w:asciiTheme="minorHAnsi" w:hAnsiTheme="minorHAnsi"/>
          <w:sz w:val="24"/>
        </w:rPr>
        <w:t>łeczeństwie wiąże się to ze znaczną niepewnością. Jednym</w:t>
      </w:r>
      <w:r w:rsidR="00BE7466">
        <w:rPr>
          <w:rFonts w:asciiTheme="minorHAnsi" w:hAnsiTheme="minorHAnsi"/>
          <w:sz w:val="24"/>
        </w:rPr>
        <w:t xml:space="preserve"> z prz</w:t>
      </w:r>
      <w:r>
        <w:rPr>
          <w:rFonts w:asciiTheme="minorHAnsi" w:hAnsiTheme="minorHAnsi"/>
          <w:sz w:val="24"/>
        </w:rPr>
        <w:t>ykładów takiej niepewności jest to, co stanie się</w:t>
      </w:r>
      <w:r w:rsidR="00BE7466">
        <w:rPr>
          <w:rFonts w:asciiTheme="minorHAnsi" w:hAnsiTheme="minorHAnsi"/>
          <w:sz w:val="24"/>
        </w:rPr>
        <w:t xml:space="preserve"> z ewe</w:t>
      </w:r>
      <w:r>
        <w:rPr>
          <w:rFonts w:asciiTheme="minorHAnsi" w:hAnsiTheme="minorHAnsi"/>
          <w:sz w:val="24"/>
        </w:rPr>
        <w:t>ntualnym udziałem Zjednoczonego Królestwa</w:t>
      </w:r>
      <w:r w:rsidR="00BE7466">
        <w:rPr>
          <w:rFonts w:asciiTheme="minorHAnsi" w:hAnsiTheme="minorHAnsi"/>
          <w:sz w:val="24"/>
        </w:rPr>
        <w:t xml:space="preserve"> w pro</w:t>
      </w:r>
      <w:r>
        <w:rPr>
          <w:rFonts w:asciiTheme="minorHAnsi" w:hAnsiTheme="minorHAnsi"/>
          <w:sz w:val="24"/>
        </w:rPr>
        <w:t>gramach Erasmus+</w:t>
      </w:r>
      <w:r w:rsidR="00BE7466">
        <w:rPr>
          <w:rFonts w:asciiTheme="minorHAnsi" w:hAnsiTheme="minorHAnsi"/>
          <w:sz w:val="24"/>
        </w:rPr>
        <w:t xml:space="preserve"> i Hor</w:t>
      </w:r>
      <w:r>
        <w:rPr>
          <w:rFonts w:asciiTheme="minorHAnsi" w:hAnsiTheme="minorHAnsi"/>
          <w:sz w:val="24"/>
        </w:rPr>
        <w:t>yzont Europa od stycznia 20</w:t>
      </w:r>
      <w:r w:rsidRPr="00C43387">
        <w:rPr>
          <w:rFonts w:asciiTheme="minorHAnsi" w:hAnsiTheme="minorHAnsi"/>
          <w:sz w:val="24"/>
        </w:rPr>
        <w:t>21</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Tylko wynik trwających obecnie negocjacji może pomóc</w:t>
      </w:r>
      <w:r w:rsidR="00BE7466">
        <w:rPr>
          <w:rFonts w:asciiTheme="minorHAnsi" w:hAnsiTheme="minorHAnsi"/>
          <w:sz w:val="24"/>
        </w:rPr>
        <w:t xml:space="preserve"> w wye</w:t>
      </w:r>
      <w:r>
        <w:rPr>
          <w:rFonts w:asciiTheme="minorHAnsi" w:hAnsiTheme="minorHAnsi"/>
          <w:sz w:val="24"/>
        </w:rPr>
        <w:t xml:space="preserve">liminowaniu takiej niepewności. </w:t>
      </w:r>
    </w:p>
    <w:p w:rsidR="005B5E63" w:rsidRDefault="00B858F1">
      <w:pPr>
        <w:jc w:val="both"/>
        <w:rPr>
          <w:rFonts w:asciiTheme="minorHAnsi" w:hAnsiTheme="minorHAnsi" w:cstheme="minorHAnsi"/>
          <w:sz w:val="24"/>
          <w:szCs w:val="24"/>
        </w:rPr>
      </w:pPr>
      <w:r>
        <w:rPr>
          <w:rFonts w:asciiTheme="minorHAnsi" w:hAnsiTheme="minorHAnsi"/>
          <w:sz w:val="24"/>
        </w:rPr>
        <w:t>Konsekwencje braku porozumienia</w:t>
      </w:r>
      <w:r w:rsidR="00BE7466">
        <w:rPr>
          <w:rFonts w:asciiTheme="minorHAnsi" w:hAnsiTheme="minorHAnsi"/>
          <w:sz w:val="24"/>
        </w:rPr>
        <w:t xml:space="preserve"> w spr</w:t>
      </w:r>
      <w:r>
        <w:rPr>
          <w:rFonts w:asciiTheme="minorHAnsi" w:hAnsiTheme="minorHAnsi"/>
          <w:sz w:val="24"/>
        </w:rPr>
        <w:t>awie nowego partnerstwa do dnia 31 grudnia 20</w:t>
      </w:r>
      <w:r w:rsidRPr="00C43387">
        <w:rPr>
          <w:rFonts w:asciiTheme="minorHAnsi" w:hAnsiTheme="minorHAnsi"/>
          <w:sz w:val="24"/>
        </w:rPr>
        <w:t>20</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byłyby znaczące. Niemniej jednak Komisja zauważa, że scenariusz „braku porozumienia” dotyczący przyszłych stosunków różniłby się od scenariusza „braku porozumienia” omawianego podczas negocjacji</w:t>
      </w:r>
      <w:r w:rsidR="00BE7466">
        <w:rPr>
          <w:rFonts w:asciiTheme="minorHAnsi" w:hAnsiTheme="minorHAnsi"/>
          <w:sz w:val="24"/>
        </w:rPr>
        <w:t xml:space="preserve"> w spr</w:t>
      </w:r>
      <w:r>
        <w:rPr>
          <w:rFonts w:asciiTheme="minorHAnsi" w:hAnsiTheme="minorHAnsi"/>
          <w:sz w:val="24"/>
        </w:rPr>
        <w:t>awie wystąpienia Zjednoczonego Królestwa</w:t>
      </w:r>
      <w:r w:rsidR="00BE7466">
        <w:rPr>
          <w:rFonts w:asciiTheme="minorHAnsi" w:hAnsiTheme="minorHAnsi"/>
          <w:sz w:val="24"/>
        </w:rPr>
        <w:t xml:space="preserve"> z Uni</w:t>
      </w:r>
      <w:r>
        <w:rPr>
          <w:rFonts w:asciiTheme="minorHAnsi" w:hAnsiTheme="minorHAnsi"/>
          <w:sz w:val="24"/>
        </w:rPr>
        <w:t>i Europejskiej, i to</w:t>
      </w:r>
      <w:r w:rsidR="00BE7466">
        <w:rPr>
          <w:rFonts w:asciiTheme="minorHAnsi" w:hAnsiTheme="minorHAnsi"/>
          <w:sz w:val="24"/>
        </w:rPr>
        <w:t xml:space="preserve"> z kil</w:t>
      </w:r>
      <w:r>
        <w:rPr>
          <w:rFonts w:asciiTheme="minorHAnsi" w:hAnsiTheme="minorHAnsi"/>
          <w:sz w:val="24"/>
        </w:rPr>
        <w:t>ku powodów:</w:t>
      </w:r>
    </w:p>
    <w:p w:rsidR="005B5E63" w:rsidRDefault="00B858F1">
      <w:pPr>
        <w:pStyle w:val="Akapitzlist"/>
        <w:numPr>
          <w:ilvl w:val="0"/>
          <w:numId w:val="34"/>
        </w:numPr>
        <w:contextualSpacing w:val="0"/>
        <w:jc w:val="both"/>
        <w:rPr>
          <w:rFonts w:asciiTheme="minorHAnsi" w:hAnsiTheme="minorHAnsi" w:cstheme="minorHAnsi"/>
          <w:b/>
          <w:sz w:val="24"/>
          <w:szCs w:val="24"/>
        </w:rPr>
      </w:pPr>
      <w:r>
        <w:rPr>
          <w:rFonts w:asciiTheme="minorHAnsi" w:hAnsiTheme="minorHAnsi"/>
          <w:sz w:val="24"/>
          <w:szCs w:val="24"/>
        </w:rPr>
        <w:t xml:space="preserve">Po pierwsze, </w:t>
      </w:r>
      <w:r>
        <w:rPr>
          <w:rFonts w:asciiTheme="minorHAnsi" w:hAnsiTheme="minorHAnsi"/>
          <w:b/>
          <w:sz w:val="24"/>
          <w:szCs w:val="24"/>
        </w:rPr>
        <w:t>umowa</w:t>
      </w:r>
      <w:r w:rsidR="00BE7466">
        <w:rPr>
          <w:rFonts w:asciiTheme="minorHAnsi" w:hAnsiTheme="minorHAnsi"/>
          <w:b/>
          <w:sz w:val="24"/>
          <w:szCs w:val="24"/>
        </w:rPr>
        <w:t xml:space="preserve"> o wys</w:t>
      </w:r>
      <w:r>
        <w:rPr>
          <w:rFonts w:asciiTheme="minorHAnsi" w:hAnsiTheme="minorHAnsi"/>
          <w:b/>
          <w:sz w:val="24"/>
          <w:szCs w:val="24"/>
        </w:rPr>
        <w:t xml:space="preserve">tąpieniu </w:t>
      </w:r>
      <w:r>
        <w:rPr>
          <w:rFonts w:asciiTheme="minorHAnsi" w:hAnsiTheme="minorHAnsi"/>
          <w:b/>
          <w:sz w:val="24"/>
        </w:rPr>
        <w:t>gwarantuje pewność prawa</w:t>
      </w:r>
      <w:r w:rsidR="00BE7466">
        <w:rPr>
          <w:rFonts w:asciiTheme="minorHAnsi" w:hAnsiTheme="minorHAnsi"/>
          <w:sz w:val="24"/>
        </w:rPr>
        <w:t xml:space="preserve"> w sze</w:t>
      </w:r>
      <w:r>
        <w:rPr>
          <w:rFonts w:asciiTheme="minorHAnsi" w:hAnsiTheme="minorHAnsi"/>
          <w:sz w:val="24"/>
        </w:rPr>
        <w:t>regu ważnych dziedzin,</w:t>
      </w:r>
      <w:r w:rsidR="00BE7466">
        <w:rPr>
          <w:rFonts w:asciiTheme="minorHAnsi" w:hAnsiTheme="minorHAnsi"/>
          <w:sz w:val="24"/>
        </w:rPr>
        <w:t xml:space="preserve"> w któ</w:t>
      </w:r>
      <w:r>
        <w:rPr>
          <w:rFonts w:asciiTheme="minorHAnsi" w:hAnsiTheme="minorHAnsi"/>
          <w:sz w:val="24"/>
        </w:rPr>
        <w:t>rych wystąpienie Zjednoczonego Królestwa</w:t>
      </w:r>
      <w:r w:rsidR="00BE7466">
        <w:rPr>
          <w:rFonts w:asciiTheme="minorHAnsi" w:hAnsiTheme="minorHAnsi"/>
          <w:sz w:val="24"/>
        </w:rPr>
        <w:t xml:space="preserve"> z Uni</w:t>
      </w:r>
      <w:r>
        <w:rPr>
          <w:rFonts w:asciiTheme="minorHAnsi" w:hAnsiTheme="minorHAnsi"/>
          <w:sz w:val="24"/>
        </w:rPr>
        <w:t>i było źródłem niepewności. Obejmują one ochronę praw obywatelskich, porozumienie finansowe, ustanowienie działającego prawnie rozwiązania</w:t>
      </w:r>
      <w:r w:rsidR="00BE7466">
        <w:rPr>
          <w:rFonts w:asciiTheme="minorHAnsi" w:hAnsiTheme="minorHAnsi"/>
          <w:sz w:val="24"/>
        </w:rPr>
        <w:t xml:space="preserve"> w cel</w:t>
      </w:r>
      <w:r>
        <w:rPr>
          <w:rFonts w:asciiTheme="minorHAnsi" w:hAnsiTheme="minorHAnsi"/>
          <w:sz w:val="24"/>
        </w:rPr>
        <w:t xml:space="preserve">u uniknięcia twardej granicy na wyspie Irlandii, nieprzerwaną ochronę istniejących jednolitych praw własności intelektualnej UE (w tym istniejących oznaczeń geograficznych) oraz przepisy </w:t>
      </w:r>
      <w:r>
        <w:rPr>
          <w:rFonts w:asciiTheme="minorHAnsi" w:hAnsiTheme="minorHAnsi"/>
          <w:sz w:val="24"/>
        </w:rPr>
        <w:lastRenderedPageBreak/>
        <w:t>dotyczące uporządkowanej likwidacji wszystkich procedur obowiązujących między UE</w:t>
      </w:r>
      <w:r w:rsidR="00BE7466">
        <w:rPr>
          <w:rFonts w:asciiTheme="minorHAnsi" w:hAnsiTheme="minorHAnsi"/>
          <w:sz w:val="24"/>
        </w:rPr>
        <w:t xml:space="preserve"> a Zje</w:t>
      </w:r>
      <w:r>
        <w:rPr>
          <w:rFonts w:asciiTheme="minorHAnsi" w:hAnsiTheme="minorHAnsi"/>
          <w:sz w:val="24"/>
        </w:rPr>
        <w:t>dnoczonym Królestwem</w:t>
      </w:r>
      <w:r>
        <w:rPr>
          <w:rFonts w:asciiTheme="minorHAnsi" w:hAnsiTheme="minorHAnsi"/>
          <w:sz w:val="24"/>
          <w:szCs w:val="24"/>
        </w:rPr>
        <w:t xml:space="preserve"> (zob. ramka). </w:t>
      </w:r>
    </w:p>
    <w:p w:rsidR="005B5E63" w:rsidRDefault="00B858F1">
      <w:pPr>
        <w:pStyle w:val="Akapitzlist"/>
        <w:numPr>
          <w:ilvl w:val="0"/>
          <w:numId w:val="34"/>
        </w:numPr>
        <w:contextualSpacing w:val="0"/>
        <w:jc w:val="both"/>
        <w:rPr>
          <w:rFonts w:asciiTheme="minorHAnsi" w:hAnsiTheme="minorHAnsi" w:cstheme="minorHAnsi"/>
          <w:b/>
          <w:sz w:val="24"/>
          <w:szCs w:val="24"/>
        </w:rPr>
      </w:pPr>
      <w:r>
        <w:rPr>
          <w:rFonts w:asciiTheme="minorHAnsi" w:hAnsiTheme="minorHAnsi"/>
          <w:sz w:val="24"/>
        </w:rPr>
        <w:t xml:space="preserve">Po drugie, </w:t>
      </w:r>
      <w:r>
        <w:rPr>
          <w:rFonts w:asciiTheme="minorHAnsi" w:hAnsiTheme="minorHAnsi"/>
          <w:b/>
          <w:sz w:val="24"/>
        </w:rPr>
        <w:t>okres przejściowy określony</w:t>
      </w:r>
      <w:r w:rsidR="00BE7466">
        <w:rPr>
          <w:rFonts w:asciiTheme="minorHAnsi" w:hAnsiTheme="minorHAnsi"/>
          <w:b/>
          <w:sz w:val="24"/>
        </w:rPr>
        <w:t xml:space="preserve"> w umo</w:t>
      </w:r>
      <w:r>
        <w:rPr>
          <w:rFonts w:asciiTheme="minorHAnsi" w:hAnsiTheme="minorHAnsi"/>
          <w:b/>
          <w:sz w:val="24"/>
        </w:rPr>
        <w:t>wie</w:t>
      </w:r>
      <w:r w:rsidR="00BE7466">
        <w:rPr>
          <w:rFonts w:asciiTheme="minorHAnsi" w:hAnsiTheme="minorHAnsi"/>
          <w:b/>
          <w:sz w:val="24"/>
        </w:rPr>
        <w:t xml:space="preserve"> o wys</w:t>
      </w:r>
      <w:r>
        <w:rPr>
          <w:rFonts w:asciiTheme="minorHAnsi" w:hAnsiTheme="minorHAnsi"/>
          <w:b/>
          <w:sz w:val="24"/>
        </w:rPr>
        <w:t>tąpieniu daje zainteresowanym stronom dodatkowy, choć ograniczony czas na przygotowanie się</w:t>
      </w:r>
      <w:r>
        <w:rPr>
          <w:rFonts w:asciiTheme="minorHAnsi" w:hAnsiTheme="minorHAnsi"/>
          <w:sz w:val="24"/>
        </w:rPr>
        <w:t xml:space="preserve"> na każdy scenariusz,</w:t>
      </w:r>
      <w:r w:rsidR="00BE7466">
        <w:rPr>
          <w:rFonts w:asciiTheme="minorHAnsi" w:hAnsiTheme="minorHAnsi"/>
          <w:sz w:val="24"/>
        </w:rPr>
        <w:t xml:space="preserve"> w tym</w:t>
      </w:r>
      <w:r>
        <w:rPr>
          <w:rFonts w:asciiTheme="minorHAnsi" w:hAnsiTheme="minorHAnsi"/>
          <w:sz w:val="24"/>
        </w:rPr>
        <w:t xml:space="preserve"> taki,</w:t>
      </w:r>
      <w:r w:rsidR="00BE7466">
        <w:rPr>
          <w:rFonts w:asciiTheme="minorHAnsi" w:hAnsiTheme="minorHAnsi"/>
          <w:sz w:val="24"/>
        </w:rPr>
        <w:t xml:space="preserve"> w któ</w:t>
      </w:r>
      <w:r>
        <w:rPr>
          <w:rFonts w:asciiTheme="minorHAnsi" w:hAnsiTheme="minorHAnsi"/>
          <w:sz w:val="24"/>
        </w:rPr>
        <w:t>rym do dnia 1 stycznia 20</w:t>
      </w:r>
      <w:r w:rsidRPr="00C43387">
        <w:rPr>
          <w:rFonts w:asciiTheme="minorHAnsi" w:hAnsiTheme="minorHAnsi"/>
          <w:sz w:val="24"/>
        </w:rPr>
        <w:t>21</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nie zostanie osiągnięte żadne porozumienie</w:t>
      </w:r>
      <w:r w:rsidR="00BE7466">
        <w:rPr>
          <w:rFonts w:asciiTheme="minorHAnsi" w:hAnsiTheme="minorHAnsi"/>
          <w:sz w:val="24"/>
        </w:rPr>
        <w:t xml:space="preserve"> w spr</w:t>
      </w:r>
      <w:r>
        <w:rPr>
          <w:rFonts w:asciiTheme="minorHAnsi" w:hAnsiTheme="minorHAnsi"/>
          <w:sz w:val="24"/>
        </w:rPr>
        <w:t>awie przyszłego partnerstwa.</w:t>
      </w:r>
    </w:p>
    <w:p w:rsidR="005B5E63" w:rsidRPr="00C43387" w:rsidRDefault="00B858F1">
      <w:pPr>
        <w:pStyle w:val="Akapitzlist"/>
        <w:numPr>
          <w:ilvl w:val="0"/>
          <w:numId w:val="34"/>
        </w:numPr>
        <w:contextualSpacing w:val="0"/>
        <w:jc w:val="both"/>
        <w:rPr>
          <w:rFonts w:asciiTheme="minorHAnsi" w:hAnsiTheme="minorHAnsi" w:cstheme="minorHAnsi"/>
          <w:sz w:val="24"/>
        </w:rPr>
      </w:pPr>
      <w:r>
        <w:rPr>
          <w:rFonts w:asciiTheme="minorHAnsi" w:hAnsiTheme="minorHAnsi"/>
          <w:sz w:val="24"/>
          <w:szCs w:val="24"/>
        </w:rPr>
        <w:t xml:space="preserve">Po trzecie, ograniczona liczba </w:t>
      </w:r>
      <w:r>
        <w:rPr>
          <w:rFonts w:asciiTheme="minorHAnsi" w:hAnsiTheme="minorHAnsi"/>
          <w:b/>
          <w:sz w:val="24"/>
          <w:szCs w:val="24"/>
        </w:rPr>
        <w:t>unijnych aktów</w:t>
      </w:r>
      <w:r>
        <w:rPr>
          <w:rFonts w:asciiTheme="minorHAnsi" w:hAnsiTheme="minorHAnsi"/>
          <w:b/>
          <w:sz w:val="24"/>
        </w:rPr>
        <w:t xml:space="preserve"> prawnych przyjętych</w:t>
      </w:r>
      <w:r w:rsidR="00BE7466">
        <w:rPr>
          <w:rFonts w:asciiTheme="minorHAnsi" w:hAnsiTheme="minorHAnsi"/>
          <w:b/>
          <w:sz w:val="24"/>
        </w:rPr>
        <w:t xml:space="preserve"> w 2</w:t>
      </w:r>
      <w:r>
        <w:rPr>
          <w:rFonts w:asciiTheme="minorHAnsi" w:hAnsiTheme="minorHAnsi"/>
          <w:b/>
          <w:sz w:val="24"/>
        </w:rPr>
        <w:t>0</w:t>
      </w:r>
      <w:r w:rsidRPr="00C43387">
        <w:rPr>
          <w:rFonts w:asciiTheme="minorHAnsi" w:hAnsiTheme="minorHAnsi"/>
          <w:b/>
          <w:sz w:val="24"/>
        </w:rPr>
        <w:t>19</w:t>
      </w:r>
      <w:r w:rsidR="00C43387" w:rsidRPr="00C43387">
        <w:rPr>
          <w:rFonts w:asciiTheme="minorHAnsi" w:hAnsiTheme="minorHAnsi"/>
          <w:b/>
          <w:sz w:val="24"/>
        </w:rPr>
        <w:t> </w:t>
      </w:r>
      <w:r w:rsidRPr="00C43387">
        <w:rPr>
          <w:rFonts w:asciiTheme="minorHAnsi" w:hAnsiTheme="minorHAnsi"/>
          <w:b/>
          <w:sz w:val="24"/>
        </w:rPr>
        <w:t>r.</w:t>
      </w:r>
      <w:r w:rsidR="00BE7466">
        <w:rPr>
          <w:rFonts w:asciiTheme="minorHAnsi" w:hAnsiTheme="minorHAnsi"/>
          <w:b/>
          <w:sz w:val="24"/>
        </w:rPr>
        <w:t xml:space="preserve"> w zwi</w:t>
      </w:r>
      <w:r>
        <w:rPr>
          <w:rFonts w:asciiTheme="minorHAnsi" w:hAnsiTheme="minorHAnsi"/>
          <w:b/>
          <w:sz w:val="24"/>
        </w:rPr>
        <w:t>ązku</w:t>
      </w:r>
      <w:r w:rsidR="00BE7466">
        <w:rPr>
          <w:rFonts w:asciiTheme="minorHAnsi" w:hAnsiTheme="minorHAnsi"/>
          <w:b/>
          <w:sz w:val="24"/>
        </w:rPr>
        <w:t xml:space="preserve"> z got</w:t>
      </w:r>
      <w:r>
        <w:rPr>
          <w:rFonts w:asciiTheme="minorHAnsi" w:hAnsiTheme="minorHAnsi"/>
          <w:b/>
          <w:sz w:val="24"/>
        </w:rPr>
        <w:t>owością na każdy scenariusz związany</w:t>
      </w:r>
      <w:r w:rsidR="00BE7466">
        <w:rPr>
          <w:rFonts w:asciiTheme="minorHAnsi" w:hAnsiTheme="minorHAnsi"/>
          <w:b/>
          <w:sz w:val="24"/>
        </w:rPr>
        <w:t xml:space="preserve"> z wys</w:t>
      </w:r>
      <w:r>
        <w:rPr>
          <w:rFonts w:asciiTheme="minorHAnsi" w:hAnsiTheme="minorHAnsi"/>
          <w:b/>
          <w:sz w:val="24"/>
        </w:rPr>
        <w:t>tąpieniem Zjednoczonego Królestwa z UE pozostanie</w:t>
      </w:r>
      <w:r w:rsidR="00BE7466">
        <w:rPr>
          <w:rFonts w:asciiTheme="minorHAnsi" w:hAnsiTheme="minorHAnsi"/>
          <w:b/>
          <w:sz w:val="24"/>
        </w:rPr>
        <w:t xml:space="preserve"> w moc</w:t>
      </w:r>
      <w:r>
        <w:rPr>
          <w:rFonts w:asciiTheme="minorHAnsi" w:hAnsiTheme="minorHAnsi"/>
          <w:b/>
          <w:sz w:val="24"/>
        </w:rPr>
        <w:t>y lub zacznie obowiązywać wraz</w:t>
      </w:r>
      <w:r w:rsidR="00BE7466">
        <w:rPr>
          <w:rFonts w:asciiTheme="minorHAnsi" w:hAnsiTheme="minorHAnsi"/>
          <w:b/>
          <w:sz w:val="24"/>
        </w:rPr>
        <w:t xml:space="preserve"> z zak</w:t>
      </w:r>
      <w:r>
        <w:rPr>
          <w:rFonts w:asciiTheme="minorHAnsi" w:hAnsiTheme="minorHAnsi"/>
          <w:b/>
          <w:sz w:val="24"/>
        </w:rPr>
        <w:t>ończeniem okresu przejściowego.</w:t>
      </w:r>
      <w:r>
        <w:rPr>
          <w:rFonts w:asciiTheme="minorHAnsi" w:hAnsiTheme="minorHAnsi"/>
          <w:sz w:val="24"/>
        </w:rPr>
        <w:t xml:space="preserve"> Obejmują one na przykład umieszczenie Zjednoczonego Królestwa</w:t>
      </w:r>
      <w:r w:rsidR="00BE7466">
        <w:rPr>
          <w:rFonts w:asciiTheme="minorHAnsi" w:hAnsiTheme="minorHAnsi"/>
          <w:sz w:val="24"/>
        </w:rPr>
        <w:t xml:space="preserve"> w wyk</w:t>
      </w:r>
      <w:r>
        <w:rPr>
          <w:rFonts w:asciiTheme="minorHAnsi" w:hAnsiTheme="minorHAnsi"/>
          <w:sz w:val="24"/>
        </w:rPr>
        <w:t>azie państw trzecich, których obywatele są zwolnieni</w:t>
      </w:r>
      <w:r w:rsidR="00BE7466">
        <w:rPr>
          <w:rFonts w:asciiTheme="minorHAnsi" w:hAnsiTheme="minorHAnsi"/>
          <w:sz w:val="24"/>
        </w:rPr>
        <w:t xml:space="preserve"> z obo</w:t>
      </w:r>
      <w:r>
        <w:rPr>
          <w:rFonts w:asciiTheme="minorHAnsi" w:hAnsiTheme="minorHAnsi"/>
          <w:sz w:val="24"/>
        </w:rPr>
        <w:t>wiązku wizowego</w:t>
      </w:r>
      <w:r w:rsidR="00BE7466">
        <w:rPr>
          <w:rFonts w:asciiTheme="minorHAnsi" w:hAnsiTheme="minorHAnsi"/>
          <w:sz w:val="24"/>
        </w:rPr>
        <w:t xml:space="preserve"> w prz</w:t>
      </w:r>
      <w:r>
        <w:rPr>
          <w:rFonts w:asciiTheme="minorHAnsi" w:hAnsiTheme="minorHAnsi"/>
          <w:sz w:val="24"/>
        </w:rPr>
        <w:t>ypadku pobytów krótkoterminowych,</w:t>
      </w:r>
      <w:r w:rsidR="00BE7466">
        <w:rPr>
          <w:rFonts w:asciiTheme="minorHAnsi" w:hAnsiTheme="minorHAnsi"/>
          <w:sz w:val="24"/>
        </w:rPr>
        <w:t xml:space="preserve"> a tak</w:t>
      </w:r>
      <w:r>
        <w:rPr>
          <w:rFonts w:asciiTheme="minorHAnsi" w:hAnsiTheme="minorHAnsi"/>
          <w:sz w:val="24"/>
        </w:rPr>
        <w:t>że podział unijnych kontyngentów taryfowych WTO między Unię Europejską</w:t>
      </w:r>
      <w:r w:rsidR="00BE7466">
        <w:rPr>
          <w:rFonts w:asciiTheme="minorHAnsi" w:hAnsiTheme="minorHAnsi"/>
          <w:sz w:val="24"/>
        </w:rPr>
        <w:t xml:space="preserve"> a </w:t>
      </w:r>
      <w:r w:rsidR="00BE7466">
        <w:rPr>
          <w:rFonts w:asciiTheme="minorHAnsi" w:hAnsiTheme="minorHAnsi"/>
          <w:sz w:val="24"/>
          <w:szCs w:val="24"/>
        </w:rPr>
        <w:t>Zje</w:t>
      </w:r>
      <w:r>
        <w:rPr>
          <w:rFonts w:asciiTheme="minorHAnsi" w:hAnsiTheme="minorHAnsi"/>
          <w:sz w:val="24"/>
          <w:szCs w:val="24"/>
        </w:rPr>
        <w:t>dnoczone Królestwo</w:t>
      </w:r>
      <w:r w:rsidRPr="00C43387">
        <w:rPr>
          <w:rFonts w:asciiTheme="minorHAnsi" w:hAnsiTheme="minorHAnsi"/>
          <w:sz w:val="24"/>
        </w:rPr>
        <w:t>.</w:t>
      </w:r>
      <w:r w:rsidR="00C43387" w:rsidRPr="00C43387">
        <w:rPr>
          <w:rStyle w:val="Odwoanieprzypisudolnego"/>
          <w:rFonts w:asciiTheme="minorHAnsi" w:hAnsiTheme="minorHAnsi"/>
          <w:sz w:val="24"/>
        </w:rPr>
        <w:t xml:space="preserve"> </w:t>
      </w:r>
    </w:p>
    <w:p w:rsidR="005B5E63" w:rsidRDefault="00B858F1">
      <w:pPr>
        <w:jc w:val="both"/>
        <w:rPr>
          <w:rFonts w:asciiTheme="minorHAnsi" w:hAnsiTheme="minorHAnsi" w:cstheme="minorHAnsi"/>
          <w:sz w:val="24"/>
        </w:rPr>
      </w:pPr>
      <w:r>
        <w:rPr>
          <w:rFonts w:asciiTheme="minorHAnsi" w:hAnsiTheme="minorHAnsi"/>
          <w:sz w:val="24"/>
        </w:rPr>
        <w:t>Biorąc powyższe pod uwagę, Komisja będzie nadal ściśle monitorować sytuację</w:t>
      </w:r>
      <w:r w:rsidR="00BE7466">
        <w:rPr>
          <w:rFonts w:asciiTheme="minorHAnsi" w:hAnsiTheme="minorHAnsi"/>
          <w:sz w:val="24"/>
        </w:rPr>
        <w:t xml:space="preserve"> i będ</w:t>
      </w:r>
      <w:r>
        <w:rPr>
          <w:rFonts w:asciiTheme="minorHAnsi" w:hAnsiTheme="minorHAnsi"/>
          <w:sz w:val="24"/>
        </w:rPr>
        <w:t>zie starała się chronić interesy Unii Europejskiej, jej obywateli</w:t>
      </w:r>
      <w:r w:rsidR="00BE7466">
        <w:rPr>
          <w:rFonts w:asciiTheme="minorHAnsi" w:hAnsiTheme="minorHAnsi"/>
          <w:sz w:val="24"/>
        </w:rPr>
        <w:t xml:space="preserve"> i gos</w:t>
      </w:r>
      <w:r>
        <w:rPr>
          <w:rFonts w:asciiTheme="minorHAnsi" w:hAnsiTheme="minorHAnsi"/>
          <w:sz w:val="24"/>
        </w:rPr>
        <w:t>podarki</w:t>
      </w:r>
      <w:r w:rsidR="00BE7466">
        <w:rPr>
          <w:rFonts w:asciiTheme="minorHAnsi" w:hAnsiTheme="minorHAnsi"/>
          <w:sz w:val="24"/>
        </w:rPr>
        <w:t xml:space="preserve"> w prz</w:t>
      </w:r>
      <w:r>
        <w:rPr>
          <w:rFonts w:asciiTheme="minorHAnsi" w:hAnsiTheme="minorHAnsi"/>
          <w:sz w:val="24"/>
        </w:rPr>
        <w:t xml:space="preserve">ypadku każdego scenariusza. </w:t>
      </w:r>
    </w:p>
    <w:tbl>
      <w:tblPr>
        <w:tblStyle w:val="Tabela-Siatka"/>
        <w:tblpPr w:leftFromText="180" w:rightFromText="180" w:vertAnchor="text" w:horzAnchor="margin" w:tblpXSpec="center" w:tblpY="706"/>
        <w:tblW w:w="0" w:type="auto"/>
        <w:tblLook w:val="04A0"/>
      </w:tblPr>
      <w:tblGrid>
        <w:gridCol w:w="9288"/>
      </w:tblGrid>
      <w:tr w:rsidR="005B5E63">
        <w:tc>
          <w:tcPr>
            <w:tcW w:w="9288" w:type="dxa"/>
          </w:tcPr>
          <w:p w:rsidR="005B5E63" w:rsidRDefault="00B858F1">
            <w:pPr>
              <w:pStyle w:val="Nagwek3"/>
              <w:jc w:val="both"/>
              <w:outlineLvl w:val="2"/>
            </w:pPr>
            <w:bookmarkStart w:id="42" w:name="_Toc33711661"/>
            <w:bookmarkStart w:id="43" w:name="_Toc46137023"/>
            <w:r>
              <w:t>RAMKA: Umowa</w:t>
            </w:r>
            <w:r w:rsidR="00BE7466">
              <w:t xml:space="preserve"> o wys</w:t>
            </w:r>
            <w:r>
              <w:t>tąpieniu,</w:t>
            </w:r>
            <w:r w:rsidR="00BE7466">
              <w:t xml:space="preserve"> w tym</w:t>
            </w:r>
            <w:r>
              <w:t xml:space="preserve"> protokół</w:t>
            </w:r>
            <w:r w:rsidR="00BE7466">
              <w:t xml:space="preserve"> w spr</w:t>
            </w:r>
            <w:r>
              <w:t>awie Irlandii</w:t>
            </w:r>
            <w:r w:rsidR="00BE7466">
              <w:t xml:space="preserve"> i Irl</w:t>
            </w:r>
            <w:r>
              <w:t>andii Północnej</w:t>
            </w:r>
            <w:bookmarkEnd w:id="42"/>
            <w:bookmarkEnd w:id="43"/>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Umowa</w:t>
            </w:r>
            <w:r w:rsidR="00BE7466">
              <w:rPr>
                <w:rFonts w:asciiTheme="minorHAnsi" w:hAnsiTheme="minorHAnsi"/>
                <w:sz w:val="24"/>
                <w:szCs w:val="24"/>
              </w:rPr>
              <w:t xml:space="preserve"> o wys</w:t>
            </w:r>
            <w:r>
              <w:rPr>
                <w:rFonts w:asciiTheme="minorHAnsi" w:hAnsiTheme="minorHAnsi"/>
                <w:sz w:val="24"/>
                <w:szCs w:val="24"/>
              </w:rPr>
              <w:t>tąpieniu zawarta między Unią Europejską</w:t>
            </w:r>
            <w:r w:rsidR="00BE7466">
              <w:rPr>
                <w:rFonts w:asciiTheme="minorHAnsi" w:hAnsiTheme="minorHAnsi"/>
                <w:sz w:val="24"/>
                <w:szCs w:val="24"/>
              </w:rPr>
              <w:t xml:space="preserve"> a Zje</w:t>
            </w:r>
            <w:r>
              <w:rPr>
                <w:rFonts w:asciiTheme="minorHAnsi" w:hAnsiTheme="minorHAnsi"/>
                <w:sz w:val="24"/>
                <w:szCs w:val="24"/>
              </w:rPr>
              <w:t>dnoczonym Królestwem weszła</w:t>
            </w:r>
            <w:r w:rsidR="00BE7466">
              <w:rPr>
                <w:rFonts w:asciiTheme="minorHAnsi" w:hAnsiTheme="minorHAnsi"/>
                <w:sz w:val="24"/>
                <w:szCs w:val="24"/>
              </w:rPr>
              <w:t xml:space="preserve"> w życ</w:t>
            </w:r>
            <w:r>
              <w:rPr>
                <w:rFonts w:asciiTheme="minorHAnsi" w:hAnsiTheme="minorHAnsi"/>
                <w:sz w:val="24"/>
                <w:szCs w:val="24"/>
              </w:rPr>
              <w:t>ie</w:t>
            </w:r>
            <w:r w:rsidR="00BE7466">
              <w:rPr>
                <w:rFonts w:asciiTheme="minorHAnsi" w:hAnsiTheme="minorHAnsi"/>
                <w:sz w:val="24"/>
                <w:szCs w:val="24"/>
              </w:rPr>
              <w:t xml:space="preserve"> z dni</w:t>
            </w:r>
            <w:r>
              <w:rPr>
                <w:rFonts w:asciiTheme="minorHAnsi" w:hAnsiTheme="minorHAnsi"/>
                <w:sz w:val="24"/>
                <w:szCs w:val="24"/>
              </w:rPr>
              <w:t>em 1 lutego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Zawarto</w:t>
            </w:r>
            <w:r w:rsidR="00BE7466">
              <w:rPr>
                <w:rFonts w:asciiTheme="minorHAnsi" w:hAnsiTheme="minorHAnsi"/>
                <w:sz w:val="24"/>
                <w:szCs w:val="24"/>
              </w:rPr>
              <w:t xml:space="preserve"> w nie</w:t>
            </w:r>
            <w:r>
              <w:rPr>
                <w:rFonts w:asciiTheme="minorHAnsi" w:hAnsiTheme="minorHAnsi"/>
                <w:sz w:val="24"/>
                <w:szCs w:val="24"/>
              </w:rPr>
              <w:t>j szczegółowe przepisy mające na celu ograniczenie skutków wystąpienia Zjednoczonego Królestwa</w:t>
            </w:r>
            <w:r w:rsidR="00BE7466">
              <w:rPr>
                <w:rFonts w:asciiTheme="minorHAnsi" w:hAnsiTheme="minorHAnsi"/>
                <w:sz w:val="24"/>
                <w:szCs w:val="24"/>
              </w:rPr>
              <w:t xml:space="preserve"> z Uni</w:t>
            </w:r>
            <w:r>
              <w:rPr>
                <w:rFonts w:asciiTheme="minorHAnsi" w:hAnsiTheme="minorHAnsi"/>
                <w:sz w:val="24"/>
                <w:szCs w:val="24"/>
              </w:rPr>
              <w:t>i Europejskiej oraz</w:t>
            </w:r>
            <w:r w:rsidR="00BE7466">
              <w:rPr>
                <w:rFonts w:asciiTheme="minorHAnsi" w:hAnsiTheme="minorHAnsi"/>
                <w:sz w:val="24"/>
                <w:szCs w:val="24"/>
              </w:rPr>
              <w:t xml:space="preserve"> z jej</w:t>
            </w:r>
            <w:r>
              <w:rPr>
                <w:rFonts w:asciiTheme="minorHAnsi" w:hAnsiTheme="minorHAnsi"/>
                <w:sz w:val="24"/>
                <w:szCs w:val="24"/>
              </w:rPr>
              <w:t xml:space="preserve"> jednolitego rynku</w:t>
            </w:r>
            <w:r w:rsidR="00BE7466">
              <w:rPr>
                <w:rFonts w:asciiTheme="minorHAnsi" w:hAnsiTheme="minorHAnsi"/>
                <w:sz w:val="24"/>
                <w:szCs w:val="24"/>
              </w:rPr>
              <w:t xml:space="preserve"> i uni</w:t>
            </w:r>
            <w:r>
              <w:rPr>
                <w:rFonts w:asciiTheme="minorHAnsi" w:hAnsiTheme="minorHAnsi"/>
                <w:sz w:val="24"/>
                <w:szCs w:val="24"/>
              </w:rPr>
              <w:t>i celnej,</w:t>
            </w:r>
            <w:r w:rsidR="00BE7466">
              <w:rPr>
                <w:rFonts w:asciiTheme="minorHAnsi" w:hAnsiTheme="minorHAnsi"/>
                <w:sz w:val="24"/>
                <w:szCs w:val="24"/>
              </w:rPr>
              <w:t xml:space="preserve"> w szc</w:t>
            </w:r>
            <w:r>
              <w:rPr>
                <w:rFonts w:asciiTheme="minorHAnsi" w:hAnsiTheme="minorHAnsi"/>
                <w:sz w:val="24"/>
                <w:szCs w:val="24"/>
              </w:rPr>
              <w:t>zególności</w:t>
            </w:r>
            <w:r w:rsidR="00BE7466">
              <w:rPr>
                <w:rFonts w:asciiTheme="minorHAnsi" w:hAnsiTheme="minorHAnsi"/>
                <w:sz w:val="24"/>
                <w:szCs w:val="24"/>
              </w:rPr>
              <w:t xml:space="preserve"> w nas</w:t>
            </w:r>
            <w:r>
              <w:rPr>
                <w:rFonts w:asciiTheme="minorHAnsi" w:hAnsiTheme="minorHAnsi"/>
                <w:sz w:val="24"/>
                <w:szCs w:val="24"/>
              </w:rPr>
              <w:t>tępujących dziedzinach:</w:t>
            </w:r>
          </w:p>
          <w:p w:rsidR="005B5E63" w:rsidRDefault="00B858F1">
            <w:pPr>
              <w:keepNext/>
              <w:keepLines/>
              <w:jc w:val="both"/>
              <w:rPr>
                <w:rFonts w:asciiTheme="minorHAnsi" w:hAnsiTheme="minorHAnsi" w:cstheme="minorHAnsi"/>
                <w:sz w:val="24"/>
                <w:szCs w:val="24"/>
              </w:rPr>
            </w:pPr>
            <w:r>
              <w:rPr>
                <w:rFonts w:asciiTheme="minorHAnsi" w:hAnsiTheme="minorHAnsi"/>
                <w:b/>
                <w:sz w:val="24"/>
                <w:szCs w:val="24"/>
              </w:rPr>
              <w:t xml:space="preserve">Prawa obywateli: </w:t>
            </w:r>
            <w:r>
              <w:rPr>
                <w:rFonts w:asciiTheme="minorHAnsi" w:hAnsiTheme="minorHAnsi"/>
                <w:sz w:val="24"/>
                <w:szCs w:val="24"/>
              </w:rPr>
              <w:t>Umowa</w:t>
            </w:r>
            <w:r w:rsidR="00BE7466">
              <w:rPr>
                <w:rFonts w:asciiTheme="minorHAnsi" w:hAnsiTheme="minorHAnsi"/>
                <w:sz w:val="24"/>
                <w:szCs w:val="24"/>
              </w:rPr>
              <w:t xml:space="preserve"> o wys</w:t>
            </w:r>
            <w:r>
              <w:rPr>
                <w:rFonts w:asciiTheme="minorHAnsi" w:hAnsiTheme="minorHAnsi"/>
                <w:sz w:val="24"/>
                <w:szCs w:val="24"/>
              </w:rPr>
              <w:t>tąpieniu chroni prawa obywateli UE przebywających legalnie na mocy prawa unijnego</w:t>
            </w:r>
            <w:r w:rsidR="00BE7466">
              <w:rPr>
                <w:rFonts w:asciiTheme="minorHAnsi" w:hAnsiTheme="minorHAnsi"/>
                <w:sz w:val="24"/>
                <w:szCs w:val="24"/>
              </w:rPr>
              <w:t xml:space="preserve"> w Zje</w:t>
            </w:r>
            <w:r>
              <w:rPr>
                <w:rFonts w:asciiTheme="minorHAnsi" w:hAnsiTheme="minorHAnsi"/>
                <w:sz w:val="24"/>
                <w:szCs w:val="24"/>
              </w:rPr>
              <w:t>dnoczonym Królestwie</w:t>
            </w:r>
            <w:r w:rsidR="00BE7466">
              <w:rPr>
                <w:rFonts w:asciiTheme="minorHAnsi" w:hAnsiTheme="minorHAnsi"/>
                <w:sz w:val="24"/>
                <w:szCs w:val="24"/>
              </w:rPr>
              <w:t xml:space="preserve"> w dni</w:t>
            </w:r>
            <w:r>
              <w:rPr>
                <w:rFonts w:asciiTheme="minorHAnsi" w:hAnsiTheme="minorHAnsi"/>
                <w:sz w:val="24"/>
                <w:szCs w:val="24"/>
              </w:rPr>
              <w:t>u zakończenia okresu przejściowego, jak również obywateli Zjednoczonego Królestwa przebywających legalnie na mocy prawa unijnego</w:t>
            </w:r>
            <w:r w:rsidR="00BE7466">
              <w:rPr>
                <w:rFonts w:asciiTheme="minorHAnsi" w:hAnsiTheme="minorHAnsi"/>
                <w:sz w:val="24"/>
                <w:szCs w:val="24"/>
              </w:rPr>
              <w:t xml:space="preserve"> w jed</w:t>
            </w:r>
            <w:r>
              <w:rPr>
                <w:rFonts w:asciiTheme="minorHAnsi" w:hAnsiTheme="minorHAnsi"/>
                <w:sz w:val="24"/>
                <w:szCs w:val="24"/>
              </w:rPr>
              <w:t>nym</w:t>
            </w:r>
            <w:r w:rsidR="00BE7466">
              <w:rPr>
                <w:rFonts w:asciiTheme="minorHAnsi" w:hAnsiTheme="minorHAnsi"/>
                <w:sz w:val="24"/>
                <w:szCs w:val="24"/>
              </w:rPr>
              <w:t xml:space="preserve"> z pań</w:t>
            </w:r>
            <w:r>
              <w:rPr>
                <w:rFonts w:asciiTheme="minorHAnsi" w:hAnsiTheme="minorHAnsi"/>
                <w:sz w:val="24"/>
                <w:szCs w:val="24"/>
              </w:rPr>
              <w:t>stw członkowskich UE</w:t>
            </w:r>
            <w:r w:rsidR="00BE7466">
              <w:rPr>
                <w:rFonts w:asciiTheme="minorHAnsi" w:hAnsiTheme="minorHAnsi"/>
                <w:sz w:val="24"/>
                <w:szCs w:val="24"/>
              </w:rPr>
              <w:t xml:space="preserve"> w tym</w:t>
            </w:r>
            <w:r>
              <w:rPr>
                <w:rFonts w:asciiTheme="minorHAnsi" w:hAnsiTheme="minorHAnsi"/>
                <w:sz w:val="24"/>
                <w:szCs w:val="24"/>
              </w:rPr>
              <w:t xml:space="preserve"> samym czasie oraz prawa </w:t>
            </w:r>
            <w:r>
              <w:rPr>
                <w:rFonts w:asciiTheme="minorHAnsi" w:hAnsiTheme="minorHAnsi"/>
                <w:sz w:val="24"/>
                <w:szCs w:val="24"/>
              </w:rPr>
              <w:lastRenderedPageBreak/>
              <w:t>członków ich rodzin do dalszego mieszkania, studiowania</w:t>
            </w:r>
            <w:r w:rsidR="00BE7466">
              <w:rPr>
                <w:rFonts w:asciiTheme="minorHAnsi" w:hAnsiTheme="minorHAnsi"/>
                <w:sz w:val="24"/>
                <w:szCs w:val="24"/>
              </w:rPr>
              <w:t xml:space="preserve"> i pra</w:t>
            </w:r>
            <w:r>
              <w:rPr>
                <w:rFonts w:asciiTheme="minorHAnsi" w:hAnsiTheme="minorHAnsi"/>
                <w:sz w:val="24"/>
                <w:szCs w:val="24"/>
              </w:rPr>
              <w:t>cy</w:t>
            </w:r>
            <w:r w:rsidR="00BE7466">
              <w:rPr>
                <w:rFonts w:asciiTheme="minorHAnsi" w:hAnsiTheme="minorHAnsi"/>
                <w:sz w:val="24"/>
                <w:szCs w:val="24"/>
              </w:rPr>
              <w:t xml:space="preserve"> w ich</w:t>
            </w:r>
            <w:r>
              <w:rPr>
                <w:rFonts w:asciiTheme="minorHAnsi" w:hAnsiTheme="minorHAnsi"/>
                <w:sz w:val="24"/>
                <w:szCs w:val="24"/>
              </w:rPr>
              <w:t xml:space="preserve"> odpowiednich państwach przyjmujących</w:t>
            </w:r>
            <w:r>
              <w:rPr>
                <w:rStyle w:val="Odwoanieprzypisudolnego"/>
                <w:rFonts w:asciiTheme="minorHAnsi" w:hAnsiTheme="minorHAnsi" w:cstheme="minorHAnsi"/>
                <w:sz w:val="24"/>
                <w:szCs w:val="24"/>
              </w:rPr>
              <w:footnoteReference w:id="36"/>
            </w:r>
            <w:r>
              <w:rPr>
                <w:rFonts w:asciiTheme="minorHAnsi" w:hAnsiTheme="minorHAnsi"/>
                <w:sz w:val="24"/>
                <w:szCs w:val="24"/>
              </w:rPr>
              <w:t>.</w:t>
            </w:r>
          </w:p>
          <w:p w:rsidR="005B5E63" w:rsidRDefault="00B858F1">
            <w:pPr>
              <w:keepNext/>
              <w:keepLines/>
              <w:jc w:val="both"/>
              <w:rPr>
                <w:rFonts w:asciiTheme="minorHAnsi" w:hAnsiTheme="minorHAnsi" w:cstheme="minorHAnsi"/>
                <w:b/>
                <w:bCs/>
                <w:sz w:val="24"/>
                <w:szCs w:val="24"/>
              </w:rPr>
            </w:pPr>
            <w:r>
              <w:rPr>
                <w:rFonts w:asciiTheme="minorHAnsi" w:hAnsiTheme="minorHAnsi"/>
                <w:b/>
                <w:bCs/>
                <w:sz w:val="24"/>
                <w:szCs w:val="24"/>
              </w:rPr>
              <w:t xml:space="preserve">Porozumienie finansowe: </w:t>
            </w:r>
            <w:r>
              <w:rPr>
                <w:rFonts w:asciiTheme="minorHAnsi" w:hAnsiTheme="minorHAnsi"/>
                <w:bCs/>
                <w:sz w:val="24"/>
                <w:szCs w:val="24"/>
              </w:rPr>
              <w:t>W umowie</w:t>
            </w:r>
            <w:r w:rsidR="00BE7466">
              <w:rPr>
                <w:rFonts w:asciiTheme="minorHAnsi" w:hAnsiTheme="minorHAnsi"/>
                <w:bCs/>
                <w:sz w:val="24"/>
                <w:szCs w:val="24"/>
              </w:rPr>
              <w:t xml:space="preserve"> o wys</w:t>
            </w:r>
            <w:r>
              <w:rPr>
                <w:rFonts w:asciiTheme="minorHAnsi" w:hAnsiTheme="minorHAnsi"/>
                <w:bCs/>
                <w:sz w:val="24"/>
                <w:szCs w:val="24"/>
              </w:rPr>
              <w:t>tąpieniu przewidziano, że Zjednoczone Królestwo</w:t>
            </w:r>
            <w:r w:rsidR="00BE7466">
              <w:rPr>
                <w:rFonts w:asciiTheme="minorHAnsi" w:hAnsiTheme="minorHAnsi"/>
                <w:bCs/>
                <w:sz w:val="24"/>
                <w:szCs w:val="24"/>
              </w:rPr>
              <w:t xml:space="preserve"> i </w:t>
            </w:r>
            <w:r w:rsidR="00BE7466">
              <w:rPr>
                <w:rFonts w:asciiTheme="minorHAnsi" w:hAnsiTheme="minorHAnsi"/>
                <w:sz w:val="24"/>
                <w:szCs w:val="24"/>
              </w:rPr>
              <w:t>Uni</w:t>
            </w:r>
            <w:r>
              <w:rPr>
                <w:rFonts w:asciiTheme="minorHAnsi" w:hAnsiTheme="minorHAnsi"/>
                <w:sz w:val="24"/>
                <w:szCs w:val="24"/>
              </w:rPr>
              <w:t>a Europejska</w:t>
            </w:r>
            <w:r>
              <w:rPr>
                <w:rFonts w:asciiTheme="minorHAnsi" w:hAnsiTheme="minorHAnsi"/>
                <w:bCs/>
                <w:sz w:val="24"/>
                <w:szCs w:val="24"/>
              </w:rPr>
              <w:t xml:space="preserve"> będą honorować wszystkie zobowiązania finansowe podjęte</w:t>
            </w:r>
            <w:r w:rsidR="00BE7466">
              <w:rPr>
                <w:rFonts w:asciiTheme="minorHAnsi" w:hAnsiTheme="minorHAnsi"/>
                <w:bCs/>
                <w:sz w:val="24"/>
                <w:szCs w:val="24"/>
              </w:rPr>
              <w:t xml:space="preserve"> w cza</w:t>
            </w:r>
            <w:r>
              <w:rPr>
                <w:rFonts w:asciiTheme="minorHAnsi" w:hAnsiTheme="minorHAnsi"/>
                <w:bCs/>
                <w:sz w:val="24"/>
                <w:szCs w:val="24"/>
              </w:rPr>
              <w:t xml:space="preserve">sie, gdy Zjednoczone Królestwo było członkiem </w:t>
            </w:r>
            <w:r>
              <w:rPr>
                <w:rFonts w:asciiTheme="minorHAnsi" w:hAnsiTheme="minorHAnsi"/>
                <w:sz w:val="24"/>
                <w:szCs w:val="24"/>
              </w:rPr>
              <w:t>Unii Europejskiej</w:t>
            </w:r>
            <w:r>
              <w:rPr>
                <w:rFonts w:asciiTheme="minorHAnsi" w:hAnsiTheme="minorHAnsi"/>
                <w:bCs/>
                <w:sz w:val="24"/>
                <w:szCs w:val="24"/>
              </w:rPr>
              <w:t>, również</w:t>
            </w:r>
            <w:r w:rsidR="00BE7466">
              <w:rPr>
                <w:rFonts w:asciiTheme="minorHAnsi" w:hAnsiTheme="minorHAnsi"/>
                <w:bCs/>
                <w:sz w:val="24"/>
                <w:szCs w:val="24"/>
              </w:rPr>
              <w:t xml:space="preserve"> w odn</w:t>
            </w:r>
            <w:r>
              <w:rPr>
                <w:rFonts w:asciiTheme="minorHAnsi" w:hAnsiTheme="minorHAnsi"/>
                <w:bCs/>
                <w:sz w:val="24"/>
                <w:szCs w:val="24"/>
              </w:rPr>
              <w:t>iesieniu do zobowiązań, które wiążą się</w:t>
            </w:r>
            <w:r w:rsidR="00BE7466">
              <w:rPr>
                <w:rFonts w:asciiTheme="minorHAnsi" w:hAnsiTheme="minorHAnsi"/>
                <w:bCs/>
                <w:sz w:val="24"/>
                <w:szCs w:val="24"/>
              </w:rPr>
              <w:t xml:space="preserve"> z rze</w:t>
            </w:r>
            <w:r>
              <w:rPr>
                <w:rFonts w:asciiTheme="minorHAnsi" w:hAnsiTheme="minorHAnsi"/>
                <w:bCs/>
                <w:sz w:val="24"/>
                <w:szCs w:val="24"/>
              </w:rPr>
              <w:t xml:space="preserve">czywistymi wydatkami </w:t>
            </w:r>
            <w:r w:rsidRPr="00C43387">
              <w:rPr>
                <w:rFonts w:asciiTheme="minorHAnsi" w:hAnsiTheme="minorHAnsi"/>
                <w:bCs/>
                <w:sz w:val="24"/>
                <w:szCs w:val="24"/>
              </w:rPr>
              <w:t>po</w:t>
            </w:r>
            <w:r w:rsidR="00C43387" w:rsidRPr="00C43387">
              <w:rPr>
                <w:rFonts w:asciiTheme="minorHAnsi" w:hAnsiTheme="minorHAnsi"/>
                <w:bCs/>
                <w:sz w:val="24"/>
                <w:szCs w:val="24"/>
              </w:rPr>
              <w:t> </w:t>
            </w:r>
            <w:r w:rsidRPr="00C43387">
              <w:rPr>
                <w:rFonts w:asciiTheme="minorHAnsi" w:hAnsiTheme="minorHAnsi"/>
                <w:bCs/>
                <w:sz w:val="24"/>
                <w:szCs w:val="24"/>
              </w:rPr>
              <w:t>2</w:t>
            </w:r>
            <w:r>
              <w:rPr>
                <w:rFonts w:asciiTheme="minorHAnsi" w:hAnsiTheme="minorHAnsi"/>
                <w:bCs/>
                <w:sz w:val="24"/>
                <w:szCs w:val="24"/>
              </w:rPr>
              <w:t>0</w:t>
            </w:r>
            <w:r w:rsidRPr="00C43387">
              <w:rPr>
                <w:rFonts w:asciiTheme="minorHAnsi" w:hAnsiTheme="minorHAnsi"/>
                <w:bCs/>
                <w:sz w:val="24"/>
                <w:szCs w:val="24"/>
              </w:rPr>
              <w:t>20</w:t>
            </w:r>
            <w:r w:rsidR="00C43387" w:rsidRPr="00C43387">
              <w:rPr>
                <w:rFonts w:asciiTheme="minorHAnsi" w:hAnsiTheme="minorHAnsi"/>
                <w:bCs/>
                <w:sz w:val="24"/>
                <w:szCs w:val="24"/>
              </w:rPr>
              <w:t> </w:t>
            </w:r>
            <w:r w:rsidRPr="00C43387">
              <w:rPr>
                <w:rFonts w:asciiTheme="minorHAnsi" w:hAnsiTheme="minorHAnsi"/>
                <w:bCs/>
                <w:sz w:val="24"/>
                <w:szCs w:val="24"/>
              </w:rPr>
              <w:t>r.</w:t>
            </w:r>
            <w:r>
              <w:rPr>
                <w:rStyle w:val="Odwoanieprzypisudolnego"/>
                <w:rFonts w:asciiTheme="minorHAnsi" w:hAnsiTheme="minorHAnsi" w:cstheme="minorHAnsi"/>
                <w:bCs/>
                <w:sz w:val="24"/>
                <w:szCs w:val="24"/>
              </w:rPr>
              <w:footnoteReference w:id="37"/>
            </w:r>
            <w:r>
              <w:rPr>
                <w:rFonts w:asciiTheme="minorHAnsi" w:hAnsiTheme="minorHAnsi"/>
                <w:bCs/>
                <w:sz w:val="24"/>
                <w:szCs w:val="24"/>
              </w:rPr>
              <w:t xml:space="preserve"> </w:t>
            </w:r>
          </w:p>
          <w:p w:rsidR="005B5E63" w:rsidRDefault="00B858F1">
            <w:pPr>
              <w:keepNext/>
              <w:keepLines/>
              <w:jc w:val="both"/>
              <w:rPr>
                <w:rFonts w:asciiTheme="minorHAnsi" w:hAnsiTheme="minorHAnsi" w:cstheme="minorHAnsi"/>
                <w:sz w:val="24"/>
                <w:szCs w:val="24"/>
              </w:rPr>
            </w:pPr>
            <w:r>
              <w:rPr>
                <w:rFonts w:asciiTheme="minorHAnsi" w:hAnsiTheme="minorHAnsi"/>
                <w:b/>
                <w:sz w:val="24"/>
                <w:szCs w:val="24"/>
              </w:rPr>
              <w:t>Protokół</w:t>
            </w:r>
            <w:r w:rsidR="00BE7466">
              <w:rPr>
                <w:rFonts w:asciiTheme="minorHAnsi" w:hAnsiTheme="minorHAnsi"/>
                <w:b/>
                <w:sz w:val="24"/>
                <w:szCs w:val="24"/>
              </w:rPr>
              <w:t xml:space="preserve"> w spr</w:t>
            </w:r>
            <w:r>
              <w:rPr>
                <w:rFonts w:asciiTheme="minorHAnsi" w:hAnsiTheme="minorHAnsi"/>
                <w:b/>
                <w:sz w:val="24"/>
                <w:szCs w:val="24"/>
              </w:rPr>
              <w:t>awie Irlandii</w:t>
            </w:r>
            <w:r w:rsidR="00BE7466">
              <w:rPr>
                <w:rFonts w:asciiTheme="minorHAnsi" w:hAnsiTheme="minorHAnsi"/>
                <w:b/>
                <w:sz w:val="24"/>
                <w:szCs w:val="24"/>
              </w:rPr>
              <w:t xml:space="preserve"> i Irl</w:t>
            </w:r>
            <w:r>
              <w:rPr>
                <w:rFonts w:asciiTheme="minorHAnsi" w:hAnsiTheme="minorHAnsi"/>
                <w:b/>
                <w:sz w:val="24"/>
                <w:szCs w:val="24"/>
              </w:rPr>
              <w:t>andii Północnej:</w:t>
            </w:r>
            <w:r>
              <w:rPr>
                <w:rFonts w:asciiTheme="minorHAnsi" w:hAnsiTheme="minorHAnsi"/>
                <w:sz w:val="24"/>
                <w:szCs w:val="24"/>
              </w:rPr>
              <w:t xml:space="preserve"> Protokół</w:t>
            </w:r>
            <w:r w:rsidR="00BE7466">
              <w:rPr>
                <w:rFonts w:asciiTheme="minorHAnsi" w:hAnsiTheme="minorHAnsi"/>
                <w:sz w:val="24"/>
                <w:szCs w:val="24"/>
              </w:rPr>
              <w:t xml:space="preserve"> w spr</w:t>
            </w:r>
            <w:r>
              <w:rPr>
                <w:rFonts w:asciiTheme="minorHAnsi" w:hAnsiTheme="minorHAnsi"/>
                <w:sz w:val="24"/>
                <w:szCs w:val="24"/>
              </w:rPr>
              <w:t>awie Irlandii</w:t>
            </w:r>
            <w:r w:rsidR="00BE7466">
              <w:rPr>
                <w:rFonts w:asciiTheme="minorHAnsi" w:hAnsiTheme="minorHAnsi"/>
                <w:sz w:val="24"/>
                <w:szCs w:val="24"/>
              </w:rPr>
              <w:t xml:space="preserve"> i Irl</w:t>
            </w:r>
            <w:r>
              <w:rPr>
                <w:rFonts w:asciiTheme="minorHAnsi" w:hAnsiTheme="minorHAnsi"/>
                <w:sz w:val="24"/>
                <w:szCs w:val="24"/>
              </w:rPr>
              <w:t>andii Północnej wejdzie</w:t>
            </w:r>
            <w:r w:rsidR="00BE7466">
              <w:rPr>
                <w:rFonts w:asciiTheme="minorHAnsi" w:hAnsiTheme="minorHAnsi"/>
                <w:sz w:val="24"/>
                <w:szCs w:val="24"/>
              </w:rPr>
              <w:t xml:space="preserve"> w życ</w:t>
            </w:r>
            <w:r>
              <w:rPr>
                <w:rFonts w:asciiTheme="minorHAnsi" w:hAnsiTheme="minorHAnsi"/>
                <w:sz w:val="24"/>
                <w:szCs w:val="24"/>
              </w:rPr>
              <w:t>ie wraz</w:t>
            </w:r>
            <w:r w:rsidR="00BE7466">
              <w:rPr>
                <w:rFonts w:asciiTheme="minorHAnsi" w:hAnsiTheme="minorHAnsi"/>
                <w:sz w:val="24"/>
                <w:szCs w:val="24"/>
              </w:rPr>
              <w:t xml:space="preserve"> z zak</w:t>
            </w:r>
            <w:r>
              <w:rPr>
                <w:rFonts w:asciiTheme="minorHAnsi" w:hAnsiTheme="minorHAnsi"/>
                <w:sz w:val="24"/>
                <w:szCs w:val="24"/>
              </w:rPr>
              <w:t>ończeniem okresu przejściowego</w:t>
            </w:r>
            <w:r w:rsidR="00BE7466">
              <w:rPr>
                <w:rFonts w:asciiTheme="minorHAnsi" w:hAnsiTheme="minorHAnsi"/>
                <w:sz w:val="24"/>
                <w:szCs w:val="24"/>
              </w:rPr>
              <w:t xml:space="preserve"> i sta</w:t>
            </w:r>
            <w:r>
              <w:rPr>
                <w:rFonts w:asciiTheme="minorHAnsi" w:hAnsiTheme="minorHAnsi"/>
                <w:sz w:val="24"/>
                <w:szCs w:val="24"/>
              </w:rPr>
              <w:t>nowi stabilne rozwiązanie, które będzie nadal stosowane wraz</w:t>
            </w:r>
            <w:r w:rsidR="00BE7466">
              <w:rPr>
                <w:rFonts w:asciiTheme="minorHAnsi" w:hAnsiTheme="minorHAnsi"/>
                <w:sz w:val="24"/>
                <w:szCs w:val="24"/>
              </w:rPr>
              <w:t xml:space="preserve"> z zaw</w:t>
            </w:r>
            <w:r>
              <w:rPr>
                <w:rFonts w:asciiTheme="minorHAnsi" w:hAnsiTheme="minorHAnsi"/>
                <w:sz w:val="24"/>
                <w:szCs w:val="24"/>
              </w:rPr>
              <w:t>arciem każdej umowy</w:t>
            </w:r>
            <w:r w:rsidR="00BE7466">
              <w:rPr>
                <w:rFonts w:asciiTheme="minorHAnsi" w:hAnsiTheme="minorHAnsi"/>
                <w:sz w:val="24"/>
                <w:szCs w:val="24"/>
              </w:rPr>
              <w:t xml:space="preserve"> o prz</w:t>
            </w:r>
            <w:r>
              <w:rPr>
                <w:rFonts w:asciiTheme="minorHAnsi" w:hAnsiTheme="minorHAnsi"/>
                <w:sz w:val="24"/>
                <w:szCs w:val="24"/>
              </w:rPr>
              <w:t>yszłym partnerstwie, pod warunkiem uzyskania</w:t>
            </w:r>
            <w:r w:rsidR="00BE7466">
              <w:rPr>
                <w:rFonts w:asciiTheme="minorHAnsi" w:hAnsiTheme="minorHAnsi"/>
                <w:sz w:val="24"/>
                <w:szCs w:val="24"/>
              </w:rPr>
              <w:t xml:space="preserve"> w prz</w:t>
            </w:r>
            <w:r>
              <w:rPr>
                <w:rFonts w:asciiTheme="minorHAnsi" w:hAnsiTheme="minorHAnsi"/>
                <w:sz w:val="24"/>
                <w:szCs w:val="24"/>
              </w:rPr>
              <w:t>yszłości zgody Zgromadzenia Irlandii Północnej na jego dalsze stosowanie.</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Zapewnia on działające prawnie rozwiązanie, które pozwala uniknąć twardej granicy na wyspie Irlandii, chroni gospodarkę całej wyspy</w:t>
            </w:r>
            <w:r w:rsidR="00BE7466">
              <w:rPr>
                <w:rFonts w:asciiTheme="minorHAnsi" w:hAnsiTheme="minorHAnsi"/>
                <w:sz w:val="24"/>
                <w:szCs w:val="24"/>
              </w:rPr>
              <w:t xml:space="preserve"> i por</w:t>
            </w:r>
            <w:r>
              <w:rPr>
                <w:rFonts w:asciiTheme="minorHAnsi" w:hAnsiTheme="minorHAnsi"/>
                <w:sz w:val="24"/>
                <w:szCs w:val="24"/>
              </w:rPr>
              <w:t>ozumienie wielkopiątkowe we wszystkich jego wymiarach oraz zabezpiecza integralność jednolitego rynku UE, jak również rynku wewnętrznego Zjednoczonego Królestwa.</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Zgodnie</w:t>
            </w:r>
            <w:r w:rsidR="00BE7466">
              <w:rPr>
                <w:rFonts w:asciiTheme="minorHAnsi" w:hAnsiTheme="minorHAnsi"/>
                <w:sz w:val="24"/>
                <w:szCs w:val="24"/>
              </w:rPr>
              <w:t xml:space="preserve"> z tym</w:t>
            </w:r>
            <w:r>
              <w:rPr>
                <w:rFonts w:asciiTheme="minorHAnsi" w:hAnsiTheme="minorHAnsi"/>
                <w:sz w:val="24"/>
                <w:szCs w:val="24"/>
              </w:rPr>
              <w:t xml:space="preserve"> protokołem Irlandia Północna pozostanie dostosowana do ograniczonego zbioru przepisów unijnych,</w:t>
            </w:r>
            <w:r w:rsidR="00BE7466">
              <w:rPr>
                <w:rFonts w:asciiTheme="minorHAnsi" w:hAnsiTheme="minorHAnsi"/>
                <w:sz w:val="24"/>
                <w:szCs w:val="24"/>
              </w:rPr>
              <w:t xml:space="preserve"> w szc</w:t>
            </w:r>
            <w:r>
              <w:rPr>
                <w:rFonts w:asciiTheme="minorHAnsi" w:hAnsiTheme="minorHAnsi"/>
                <w:sz w:val="24"/>
                <w:szCs w:val="24"/>
              </w:rPr>
              <w:t>zególności dotyczących towarów,</w:t>
            </w:r>
            <w:r w:rsidR="00BE7466">
              <w:rPr>
                <w:rFonts w:asciiTheme="minorHAnsi" w:hAnsiTheme="minorHAnsi"/>
                <w:sz w:val="24"/>
                <w:szCs w:val="24"/>
              </w:rPr>
              <w:t xml:space="preserve"> a uni</w:t>
            </w:r>
            <w:r>
              <w:rPr>
                <w:rFonts w:asciiTheme="minorHAnsi" w:hAnsiTheme="minorHAnsi"/>
                <w:sz w:val="24"/>
                <w:szCs w:val="24"/>
              </w:rPr>
              <w:t>jny kodeks celny oraz przepisy dotyczące VAT</w:t>
            </w:r>
            <w:r w:rsidR="00BE7466">
              <w:rPr>
                <w:rFonts w:asciiTheme="minorHAnsi" w:hAnsiTheme="minorHAnsi"/>
                <w:sz w:val="24"/>
                <w:szCs w:val="24"/>
              </w:rPr>
              <w:t xml:space="preserve"> i akc</w:t>
            </w:r>
            <w:r>
              <w:rPr>
                <w:rFonts w:asciiTheme="minorHAnsi" w:hAnsiTheme="minorHAnsi"/>
                <w:sz w:val="24"/>
                <w:szCs w:val="24"/>
              </w:rPr>
              <w:t>yzy będą miały zastosowanie do wszystkich towarów wwożonych do Irlandii Północnej lub</w:t>
            </w:r>
            <w:r w:rsidR="00BE7466">
              <w:rPr>
                <w:rFonts w:asciiTheme="minorHAnsi" w:hAnsiTheme="minorHAnsi"/>
                <w:sz w:val="24"/>
                <w:szCs w:val="24"/>
              </w:rPr>
              <w:t xml:space="preserve"> z nie</w:t>
            </w:r>
            <w:r>
              <w:rPr>
                <w:rFonts w:asciiTheme="minorHAnsi" w:hAnsiTheme="minorHAnsi"/>
                <w:sz w:val="24"/>
                <w:szCs w:val="24"/>
              </w:rPr>
              <w:t>j wywożonych. Pozwali to uniknąć wszelkich odpraw</w:t>
            </w:r>
            <w:r w:rsidR="00BE7466">
              <w:rPr>
                <w:rFonts w:asciiTheme="minorHAnsi" w:hAnsiTheme="minorHAnsi"/>
                <w:sz w:val="24"/>
                <w:szCs w:val="24"/>
              </w:rPr>
              <w:t xml:space="preserve"> i kon</w:t>
            </w:r>
            <w:r>
              <w:rPr>
                <w:rFonts w:asciiTheme="minorHAnsi" w:hAnsiTheme="minorHAnsi"/>
                <w:sz w:val="24"/>
                <w:szCs w:val="24"/>
              </w:rPr>
              <w:t xml:space="preserve">troli celnych na wyspie Irlandii. </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 xml:space="preserve">Przeprowadzane będą </w:t>
            </w:r>
            <w:r>
              <w:rPr>
                <w:rFonts w:asciiTheme="minorHAnsi" w:hAnsiTheme="minorHAnsi"/>
                <w:b/>
                <w:bCs/>
                <w:sz w:val="24"/>
                <w:szCs w:val="24"/>
              </w:rPr>
              <w:t>odprawy</w:t>
            </w:r>
            <w:r w:rsidR="00BE7466">
              <w:rPr>
                <w:rFonts w:asciiTheme="minorHAnsi" w:hAnsiTheme="minorHAnsi"/>
                <w:b/>
                <w:bCs/>
                <w:sz w:val="24"/>
                <w:szCs w:val="24"/>
              </w:rPr>
              <w:t xml:space="preserve"> i kon</w:t>
            </w:r>
            <w:r>
              <w:rPr>
                <w:rFonts w:asciiTheme="minorHAnsi" w:hAnsiTheme="minorHAnsi"/>
                <w:b/>
                <w:bCs/>
                <w:sz w:val="24"/>
                <w:szCs w:val="24"/>
              </w:rPr>
              <w:t>trole celne</w:t>
            </w:r>
            <w:r>
              <w:rPr>
                <w:rFonts w:asciiTheme="minorHAnsi" w:hAnsiTheme="minorHAnsi"/>
                <w:sz w:val="24"/>
                <w:szCs w:val="24"/>
              </w:rPr>
              <w:t xml:space="preserve"> towarów wwożonych do Irlandii Północnej</w:t>
            </w:r>
            <w:r w:rsidR="00BE7466">
              <w:rPr>
                <w:rFonts w:asciiTheme="minorHAnsi" w:hAnsiTheme="minorHAnsi"/>
                <w:sz w:val="24"/>
                <w:szCs w:val="24"/>
              </w:rPr>
              <w:t xml:space="preserve"> z poz</w:t>
            </w:r>
            <w:r>
              <w:rPr>
                <w:rFonts w:asciiTheme="minorHAnsi" w:hAnsiTheme="minorHAnsi"/>
                <w:sz w:val="24"/>
                <w:szCs w:val="24"/>
              </w:rPr>
              <w:t>ostałej części Zjednoczonego Królestwa, na przykład produktów spożywczych</w:t>
            </w:r>
            <w:r w:rsidR="00BE7466">
              <w:rPr>
                <w:rFonts w:asciiTheme="minorHAnsi" w:hAnsiTheme="minorHAnsi"/>
                <w:sz w:val="24"/>
                <w:szCs w:val="24"/>
              </w:rPr>
              <w:t xml:space="preserve"> i żyw</w:t>
            </w:r>
            <w:r>
              <w:rPr>
                <w:rFonts w:asciiTheme="minorHAnsi" w:hAnsiTheme="minorHAnsi"/>
                <w:sz w:val="24"/>
                <w:szCs w:val="24"/>
              </w:rPr>
              <w:t>ych zwierząt,</w:t>
            </w:r>
            <w:r w:rsidR="00BE7466">
              <w:rPr>
                <w:rFonts w:asciiTheme="minorHAnsi" w:hAnsiTheme="minorHAnsi"/>
                <w:sz w:val="24"/>
                <w:szCs w:val="24"/>
              </w:rPr>
              <w:t xml:space="preserve"> w cel</w:t>
            </w:r>
            <w:r>
              <w:rPr>
                <w:rFonts w:asciiTheme="minorHAnsi" w:hAnsiTheme="minorHAnsi"/>
                <w:sz w:val="24"/>
                <w:szCs w:val="24"/>
              </w:rPr>
              <w:t>u zapewnienia przestrzegania wymogów sanitarnych</w:t>
            </w:r>
            <w:r w:rsidR="00BE7466">
              <w:rPr>
                <w:rFonts w:asciiTheme="minorHAnsi" w:hAnsiTheme="minorHAnsi"/>
                <w:sz w:val="24"/>
                <w:szCs w:val="24"/>
              </w:rPr>
              <w:t xml:space="preserve"> i fit</w:t>
            </w:r>
            <w:r>
              <w:rPr>
                <w:rFonts w:asciiTheme="minorHAnsi" w:hAnsiTheme="minorHAnsi"/>
                <w:sz w:val="24"/>
                <w:szCs w:val="24"/>
              </w:rPr>
              <w:t>osanitarnych. Wszystkie towary wwożone do Irlandii Północnej lub</w:t>
            </w:r>
            <w:r w:rsidR="00BE7466">
              <w:rPr>
                <w:rFonts w:asciiTheme="minorHAnsi" w:hAnsiTheme="minorHAnsi"/>
                <w:sz w:val="24"/>
                <w:szCs w:val="24"/>
              </w:rPr>
              <w:t xml:space="preserve"> z nie</w:t>
            </w:r>
            <w:r>
              <w:rPr>
                <w:rFonts w:asciiTheme="minorHAnsi" w:hAnsiTheme="minorHAnsi"/>
                <w:sz w:val="24"/>
                <w:szCs w:val="24"/>
              </w:rPr>
              <w:t>j wywożone muszą być</w:t>
            </w:r>
            <w:r w:rsidR="00BE7466">
              <w:rPr>
                <w:rFonts w:asciiTheme="minorHAnsi" w:hAnsiTheme="minorHAnsi"/>
                <w:sz w:val="24"/>
                <w:szCs w:val="24"/>
              </w:rPr>
              <w:t xml:space="preserve"> w peł</w:t>
            </w:r>
            <w:r>
              <w:rPr>
                <w:rFonts w:asciiTheme="minorHAnsi" w:hAnsiTheme="minorHAnsi"/>
                <w:sz w:val="24"/>
                <w:szCs w:val="24"/>
              </w:rPr>
              <w:t>ni zgodne</w:t>
            </w:r>
            <w:r w:rsidR="00BE7466">
              <w:rPr>
                <w:rFonts w:asciiTheme="minorHAnsi" w:hAnsiTheme="minorHAnsi"/>
                <w:sz w:val="24"/>
                <w:szCs w:val="24"/>
              </w:rPr>
              <w:t xml:space="preserve"> z odp</w:t>
            </w:r>
            <w:r>
              <w:rPr>
                <w:rFonts w:asciiTheme="minorHAnsi" w:hAnsiTheme="minorHAnsi"/>
                <w:sz w:val="24"/>
                <w:szCs w:val="24"/>
              </w:rPr>
              <w:t>owiednimi przepisami</w:t>
            </w:r>
            <w:r w:rsidR="00BE7466">
              <w:rPr>
                <w:rFonts w:asciiTheme="minorHAnsi" w:hAnsiTheme="minorHAnsi"/>
                <w:sz w:val="24"/>
                <w:szCs w:val="24"/>
              </w:rPr>
              <w:t xml:space="preserve"> i nor</w:t>
            </w:r>
            <w:r>
              <w:rPr>
                <w:rFonts w:asciiTheme="minorHAnsi" w:hAnsiTheme="minorHAnsi"/>
                <w:sz w:val="24"/>
                <w:szCs w:val="24"/>
              </w:rPr>
              <w:t>mami unijnymi.</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 xml:space="preserve">Do towarów wwożonych do Irlandii Północnej będą miały zastosowanie unijne </w:t>
            </w:r>
            <w:r>
              <w:rPr>
                <w:rFonts w:asciiTheme="minorHAnsi" w:hAnsiTheme="minorHAnsi"/>
                <w:b/>
                <w:bCs/>
                <w:sz w:val="24"/>
                <w:szCs w:val="24"/>
              </w:rPr>
              <w:t>cła</w:t>
            </w:r>
            <w:r>
              <w:rPr>
                <w:rFonts w:asciiTheme="minorHAnsi" w:hAnsiTheme="minorHAnsi"/>
                <w:sz w:val="24"/>
                <w:szCs w:val="24"/>
              </w:rPr>
              <w:t>, chyba że Wspólny Komitet określi ramy warunków, na jakich uzna się, że</w:t>
            </w:r>
            <w:r w:rsidR="00BE7466">
              <w:rPr>
                <w:rFonts w:asciiTheme="minorHAnsi" w:hAnsiTheme="minorHAnsi"/>
                <w:sz w:val="24"/>
                <w:szCs w:val="24"/>
              </w:rPr>
              <w:t xml:space="preserve"> w prz</w:t>
            </w:r>
            <w:r>
              <w:rPr>
                <w:rFonts w:asciiTheme="minorHAnsi" w:hAnsiTheme="minorHAnsi"/>
                <w:sz w:val="24"/>
                <w:szCs w:val="24"/>
              </w:rPr>
              <w:t>ypadku tych towarów nie występuje ryzyko wprowadzenia na jednolity rynek UE</w:t>
            </w:r>
            <w:r w:rsidR="00BE7466">
              <w:rPr>
                <w:rFonts w:asciiTheme="minorHAnsi" w:hAnsiTheme="minorHAnsi"/>
                <w:sz w:val="24"/>
                <w:szCs w:val="24"/>
              </w:rPr>
              <w:t>. W opa</w:t>
            </w:r>
            <w:r>
              <w:rPr>
                <w:rFonts w:asciiTheme="minorHAnsi" w:hAnsiTheme="minorHAnsi"/>
                <w:sz w:val="24"/>
                <w:szCs w:val="24"/>
              </w:rPr>
              <w:t>rciu</w:t>
            </w:r>
            <w:r w:rsidR="00BE7466">
              <w:rPr>
                <w:rFonts w:asciiTheme="minorHAnsi" w:hAnsiTheme="minorHAnsi"/>
                <w:sz w:val="24"/>
                <w:szCs w:val="24"/>
              </w:rPr>
              <w:t xml:space="preserve"> o tak</w:t>
            </w:r>
            <w:r>
              <w:rPr>
                <w:rFonts w:asciiTheme="minorHAnsi" w:hAnsiTheme="minorHAnsi"/>
                <w:sz w:val="24"/>
                <w:szCs w:val="24"/>
              </w:rPr>
              <w:t>ie ramy nie będą pobierane żadne opłaty celne, jeżeli będzie można wykazać, że</w:t>
            </w:r>
            <w:r w:rsidR="00BE7466">
              <w:rPr>
                <w:rFonts w:asciiTheme="minorHAnsi" w:hAnsiTheme="minorHAnsi"/>
                <w:sz w:val="24"/>
                <w:szCs w:val="24"/>
              </w:rPr>
              <w:t xml:space="preserve"> w prz</w:t>
            </w:r>
            <w:r>
              <w:rPr>
                <w:rFonts w:asciiTheme="minorHAnsi" w:hAnsiTheme="minorHAnsi"/>
                <w:sz w:val="24"/>
                <w:szCs w:val="24"/>
              </w:rPr>
              <w:t>ypadku towarów wwożonych do Irlandii Północnej</w:t>
            </w:r>
            <w:r w:rsidR="00BE7466">
              <w:rPr>
                <w:rFonts w:asciiTheme="minorHAnsi" w:hAnsiTheme="minorHAnsi"/>
                <w:sz w:val="24"/>
                <w:szCs w:val="24"/>
              </w:rPr>
              <w:t xml:space="preserve"> z poz</w:t>
            </w:r>
            <w:r>
              <w:rPr>
                <w:rFonts w:asciiTheme="minorHAnsi" w:hAnsiTheme="minorHAnsi"/>
                <w:sz w:val="24"/>
                <w:szCs w:val="24"/>
              </w:rPr>
              <w:t>ostałej części Zjednoczonego Królestwa nie występuje ryzyko wprowadzenia na jednolity rynek UE.</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t>Unijne formalności</w:t>
            </w:r>
            <w:r w:rsidR="00BE7466">
              <w:rPr>
                <w:rFonts w:asciiTheme="minorHAnsi" w:hAnsiTheme="minorHAnsi"/>
                <w:sz w:val="24"/>
                <w:szCs w:val="24"/>
              </w:rPr>
              <w:t xml:space="preserve"> i pro</w:t>
            </w:r>
            <w:r>
              <w:rPr>
                <w:rFonts w:asciiTheme="minorHAnsi" w:hAnsiTheme="minorHAnsi"/>
                <w:sz w:val="24"/>
                <w:szCs w:val="24"/>
              </w:rPr>
              <w:t>cedury celne będą miały zastosowanie do towarów wwożonych do Irlandii Północnej</w:t>
            </w:r>
            <w:r w:rsidR="00BE7466">
              <w:t xml:space="preserve"> </w:t>
            </w:r>
            <w:r w:rsidR="00BE7466">
              <w:rPr>
                <w:rFonts w:asciiTheme="minorHAnsi" w:hAnsiTheme="minorHAnsi"/>
                <w:sz w:val="24"/>
                <w:szCs w:val="24"/>
              </w:rPr>
              <w:t>z</w:t>
            </w:r>
            <w:r w:rsidR="00BE7466">
              <w:rPr>
                <w:rFonts w:ascii="Calibri" w:hAnsi="Calibri" w:cs="Calibri"/>
              </w:rPr>
              <w:t> </w:t>
            </w:r>
            <w:r w:rsidR="00BE7466">
              <w:rPr>
                <w:rFonts w:asciiTheme="minorHAnsi" w:hAnsiTheme="minorHAnsi"/>
                <w:sz w:val="24"/>
                <w:szCs w:val="24"/>
              </w:rPr>
              <w:t>kra</w:t>
            </w:r>
            <w:r>
              <w:rPr>
                <w:rFonts w:asciiTheme="minorHAnsi" w:hAnsiTheme="minorHAnsi"/>
                <w:sz w:val="24"/>
                <w:szCs w:val="24"/>
              </w:rPr>
              <w:t>jów spoza UE lub wywożonych</w:t>
            </w:r>
            <w:r w:rsidR="00BE7466">
              <w:rPr>
                <w:rFonts w:asciiTheme="minorHAnsi" w:hAnsiTheme="minorHAnsi"/>
                <w:sz w:val="24"/>
                <w:szCs w:val="24"/>
              </w:rPr>
              <w:t xml:space="preserve"> z Irl</w:t>
            </w:r>
            <w:r>
              <w:rPr>
                <w:rFonts w:asciiTheme="minorHAnsi" w:hAnsiTheme="minorHAnsi"/>
                <w:sz w:val="24"/>
                <w:szCs w:val="24"/>
              </w:rPr>
              <w:t>andii Północnej.</w:t>
            </w:r>
          </w:p>
          <w:p w:rsidR="005B5E63" w:rsidRDefault="00B858F1">
            <w:pPr>
              <w:keepNext/>
              <w:keepLines/>
              <w:jc w:val="both"/>
              <w:rPr>
                <w:rFonts w:asciiTheme="minorHAnsi" w:hAnsiTheme="minorHAnsi" w:cstheme="minorHAnsi"/>
                <w:sz w:val="24"/>
                <w:szCs w:val="24"/>
              </w:rPr>
            </w:pPr>
            <w:r>
              <w:rPr>
                <w:rFonts w:asciiTheme="minorHAnsi" w:hAnsiTheme="minorHAnsi"/>
                <w:sz w:val="24"/>
                <w:szCs w:val="24"/>
              </w:rPr>
              <w:lastRenderedPageBreak/>
              <w:t>Unijne przepisy dotyczące VAT</w:t>
            </w:r>
            <w:r w:rsidR="00BE7466">
              <w:rPr>
                <w:rFonts w:asciiTheme="minorHAnsi" w:hAnsiTheme="minorHAnsi"/>
                <w:sz w:val="24"/>
                <w:szCs w:val="24"/>
              </w:rPr>
              <w:t xml:space="preserve"> i akc</w:t>
            </w:r>
            <w:r>
              <w:rPr>
                <w:rFonts w:asciiTheme="minorHAnsi" w:hAnsiTheme="minorHAnsi"/>
                <w:sz w:val="24"/>
                <w:szCs w:val="24"/>
              </w:rPr>
              <w:t>yzy mają zastosowanie do towarów wwożonych do Irlandii Północnej</w:t>
            </w:r>
            <w:r w:rsidR="00BE7466">
              <w:rPr>
                <w:rFonts w:asciiTheme="minorHAnsi" w:hAnsiTheme="minorHAnsi"/>
                <w:sz w:val="24"/>
                <w:szCs w:val="24"/>
              </w:rPr>
              <w:t xml:space="preserve"> z poz</w:t>
            </w:r>
            <w:r>
              <w:rPr>
                <w:rFonts w:asciiTheme="minorHAnsi" w:hAnsiTheme="minorHAnsi"/>
                <w:sz w:val="24"/>
                <w:szCs w:val="24"/>
              </w:rPr>
              <w:t>ostałej części Zjednoczonego Królestwa lub wywożonych</w:t>
            </w:r>
            <w:r w:rsidR="00BE7466">
              <w:rPr>
                <w:rFonts w:asciiTheme="minorHAnsi" w:hAnsiTheme="minorHAnsi"/>
                <w:sz w:val="24"/>
                <w:szCs w:val="24"/>
              </w:rPr>
              <w:t xml:space="preserve"> z nie</w:t>
            </w:r>
            <w:r>
              <w:rPr>
                <w:rFonts w:asciiTheme="minorHAnsi" w:hAnsiTheme="minorHAnsi"/>
                <w:sz w:val="24"/>
                <w:szCs w:val="24"/>
              </w:rPr>
              <w:t>j do pozostałej części Zjednoczonego Królestwa.</w:t>
            </w:r>
          </w:p>
          <w:p w:rsidR="005B5E63" w:rsidRDefault="00B858F1">
            <w:pPr>
              <w:keepNext/>
              <w:keepLines/>
              <w:jc w:val="both"/>
              <w:rPr>
                <w:rFonts w:asciiTheme="minorHAnsi" w:hAnsiTheme="minorHAnsi" w:cstheme="minorHAnsi"/>
                <w:sz w:val="24"/>
                <w:szCs w:val="24"/>
              </w:rPr>
            </w:pPr>
            <w:r>
              <w:rPr>
                <w:rFonts w:asciiTheme="minorHAnsi" w:hAnsiTheme="minorHAnsi"/>
                <w:b/>
                <w:sz w:val="24"/>
                <w:szCs w:val="24"/>
              </w:rPr>
              <w:t xml:space="preserve">Kwestie dotyczące wystąpienia: </w:t>
            </w:r>
            <w:r>
              <w:rPr>
                <w:rFonts w:asciiTheme="minorHAnsi" w:hAnsiTheme="minorHAnsi"/>
                <w:sz w:val="24"/>
                <w:szCs w:val="24"/>
              </w:rPr>
              <w:t>Umowa</w:t>
            </w:r>
            <w:r w:rsidR="00BE7466">
              <w:rPr>
                <w:rFonts w:asciiTheme="minorHAnsi" w:hAnsiTheme="minorHAnsi"/>
                <w:sz w:val="24"/>
                <w:szCs w:val="24"/>
              </w:rPr>
              <w:t xml:space="preserve"> o wys</w:t>
            </w:r>
            <w:r>
              <w:rPr>
                <w:rFonts w:asciiTheme="minorHAnsi" w:hAnsiTheme="minorHAnsi"/>
                <w:sz w:val="24"/>
                <w:szCs w:val="24"/>
              </w:rPr>
              <w:t>tąpieniu zapewnia również uporządkowaną likwidację istniejących ustaleń</w:t>
            </w:r>
            <w:r w:rsidR="00BE7466">
              <w:rPr>
                <w:rFonts w:asciiTheme="minorHAnsi" w:hAnsiTheme="minorHAnsi"/>
                <w:sz w:val="24"/>
                <w:szCs w:val="24"/>
              </w:rPr>
              <w:t xml:space="preserve"> w odn</w:t>
            </w:r>
            <w:r>
              <w:rPr>
                <w:rFonts w:asciiTheme="minorHAnsi" w:hAnsiTheme="minorHAnsi"/>
                <w:sz w:val="24"/>
                <w:szCs w:val="24"/>
              </w:rPr>
              <w:t>iesieniu do spraw będących</w:t>
            </w:r>
            <w:r w:rsidR="00BE7466">
              <w:rPr>
                <w:rFonts w:asciiTheme="minorHAnsi" w:hAnsiTheme="minorHAnsi"/>
                <w:sz w:val="24"/>
                <w:szCs w:val="24"/>
              </w:rPr>
              <w:t xml:space="preserve"> w tok</w:t>
            </w:r>
            <w:r>
              <w:rPr>
                <w:rFonts w:asciiTheme="minorHAnsi" w:hAnsiTheme="minorHAnsi"/>
                <w:sz w:val="24"/>
                <w:szCs w:val="24"/>
              </w:rPr>
              <w:t>u</w:t>
            </w:r>
            <w:r w:rsidR="00BE7466">
              <w:rPr>
                <w:rFonts w:asciiTheme="minorHAnsi" w:hAnsiTheme="minorHAnsi"/>
                <w:sz w:val="24"/>
                <w:szCs w:val="24"/>
              </w:rPr>
              <w:t xml:space="preserve"> w mom</w:t>
            </w:r>
            <w:r>
              <w:rPr>
                <w:rFonts w:asciiTheme="minorHAnsi" w:hAnsiTheme="minorHAnsi"/>
                <w:sz w:val="24"/>
                <w:szCs w:val="24"/>
              </w:rPr>
              <w:t>encie wystąpienia:</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umożliwia dalsze udostępnianie na rynku UE lub Zjednoczonego Królestwa towarów wprowadzonych do obrotu przed zakończeniem okresu przejściowego zanim dotrą do użytkownika końcowego bez konieczności ich ponownej certyfikacji, ponownego etykietowania lub modyfikacji;</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przewiduje procesy zarządzania trwającymi wewnątrzunijnymi przemieszczeniami towarów, procedurami celnymi</w:t>
            </w:r>
            <w:r w:rsidR="00BE7466">
              <w:rPr>
                <w:rFonts w:asciiTheme="minorHAnsi" w:hAnsiTheme="minorHAnsi"/>
                <w:sz w:val="24"/>
                <w:szCs w:val="24"/>
              </w:rPr>
              <w:t xml:space="preserve"> w tok</w:t>
            </w:r>
            <w:r>
              <w:rPr>
                <w:rFonts w:asciiTheme="minorHAnsi" w:hAnsiTheme="minorHAnsi"/>
                <w:sz w:val="24"/>
                <w:szCs w:val="24"/>
              </w:rPr>
              <w:t>u,</w:t>
            </w:r>
            <w:r w:rsidR="00BE7466">
              <w:rPr>
                <w:rFonts w:asciiTheme="minorHAnsi" w:hAnsiTheme="minorHAnsi"/>
                <w:sz w:val="24"/>
                <w:szCs w:val="24"/>
              </w:rPr>
              <w:t xml:space="preserve"> a tak</w:t>
            </w:r>
            <w:r>
              <w:rPr>
                <w:rFonts w:asciiTheme="minorHAnsi" w:hAnsiTheme="minorHAnsi"/>
                <w:sz w:val="24"/>
                <w:szCs w:val="24"/>
              </w:rPr>
              <w:t>że sprawami związanymi</w:t>
            </w:r>
            <w:r w:rsidR="00BE7466">
              <w:rPr>
                <w:rFonts w:asciiTheme="minorHAnsi" w:hAnsiTheme="minorHAnsi"/>
                <w:sz w:val="24"/>
                <w:szCs w:val="24"/>
              </w:rPr>
              <w:t xml:space="preserve"> z pod</w:t>
            </w:r>
            <w:r>
              <w:rPr>
                <w:rFonts w:asciiTheme="minorHAnsi" w:hAnsiTheme="minorHAnsi"/>
                <w:sz w:val="24"/>
                <w:szCs w:val="24"/>
              </w:rPr>
              <w:t>atkiem od wartości dodanej</w:t>
            </w:r>
            <w:r w:rsidR="00BE7466">
              <w:rPr>
                <w:rFonts w:asciiTheme="minorHAnsi" w:hAnsiTheme="minorHAnsi"/>
                <w:sz w:val="24"/>
                <w:szCs w:val="24"/>
              </w:rPr>
              <w:t xml:space="preserve"> i akc</w:t>
            </w:r>
            <w:r>
              <w:rPr>
                <w:rFonts w:asciiTheme="minorHAnsi" w:hAnsiTheme="minorHAnsi"/>
                <w:sz w:val="24"/>
                <w:szCs w:val="24"/>
              </w:rPr>
              <w:t>yzą, oraz procesy służące ich zakończeniu;</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chroni istniejące jednolite prawa własności intelektualnej,</w:t>
            </w:r>
            <w:r w:rsidR="00BE7466">
              <w:rPr>
                <w:rFonts w:asciiTheme="minorHAnsi" w:hAnsiTheme="minorHAnsi"/>
                <w:sz w:val="24"/>
                <w:szCs w:val="24"/>
              </w:rPr>
              <w:t xml:space="preserve"> w tym</w:t>
            </w:r>
            <w:r>
              <w:rPr>
                <w:rFonts w:asciiTheme="minorHAnsi" w:hAnsiTheme="minorHAnsi"/>
                <w:sz w:val="24"/>
                <w:szCs w:val="24"/>
              </w:rPr>
              <w:t xml:space="preserve"> istniejące oznaczenia geograficzne UE;</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kończy procedury udzielania zamówień publicznych toczące się</w:t>
            </w:r>
            <w:r w:rsidR="00BE7466">
              <w:rPr>
                <w:rFonts w:asciiTheme="minorHAnsi" w:hAnsiTheme="minorHAnsi"/>
                <w:sz w:val="24"/>
                <w:szCs w:val="24"/>
              </w:rPr>
              <w:t xml:space="preserve"> w mom</w:t>
            </w:r>
            <w:r>
              <w:rPr>
                <w:rFonts w:asciiTheme="minorHAnsi" w:hAnsiTheme="minorHAnsi"/>
                <w:sz w:val="24"/>
                <w:szCs w:val="24"/>
              </w:rPr>
              <w:t>encie zakończenia okresu przejściowego</w:t>
            </w:r>
            <w:r w:rsidR="00BE7466">
              <w:rPr>
                <w:rFonts w:asciiTheme="minorHAnsi" w:hAnsiTheme="minorHAnsi"/>
                <w:sz w:val="24"/>
                <w:szCs w:val="24"/>
              </w:rPr>
              <w:t xml:space="preserve"> i gwa</w:t>
            </w:r>
            <w:r>
              <w:rPr>
                <w:rFonts w:asciiTheme="minorHAnsi" w:hAnsiTheme="minorHAnsi"/>
                <w:sz w:val="24"/>
                <w:szCs w:val="24"/>
              </w:rPr>
              <w:t>rantuje prawa podmiotów, których dotyczą te procedury, zgodnie</w:t>
            </w:r>
            <w:r w:rsidR="00BE7466">
              <w:rPr>
                <w:rFonts w:asciiTheme="minorHAnsi" w:hAnsiTheme="minorHAnsi"/>
                <w:sz w:val="24"/>
                <w:szCs w:val="24"/>
              </w:rPr>
              <w:t xml:space="preserve"> z pra</w:t>
            </w:r>
            <w:r>
              <w:rPr>
                <w:rFonts w:asciiTheme="minorHAnsi" w:hAnsiTheme="minorHAnsi"/>
                <w:sz w:val="24"/>
                <w:szCs w:val="24"/>
              </w:rPr>
              <w:t>wem Unii;</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zawiera przepisy dotyczące zakończenia trwającej współpracy policyjnej</w:t>
            </w:r>
            <w:r w:rsidR="00BE7466">
              <w:rPr>
                <w:rFonts w:asciiTheme="minorHAnsi" w:hAnsiTheme="minorHAnsi"/>
                <w:sz w:val="24"/>
                <w:szCs w:val="24"/>
              </w:rPr>
              <w:t xml:space="preserve"> i wym</w:t>
            </w:r>
            <w:r>
              <w:rPr>
                <w:rFonts w:asciiTheme="minorHAnsi" w:hAnsiTheme="minorHAnsi"/>
                <w:sz w:val="24"/>
                <w:szCs w:val="24"/>
              </w:rPr>
              <w:t>iarów sprawiedliwości</w:t>
            </w:r>
            <w:r w:rsidR="00BE7466">
              <w:rPr>
                <w:rFonts w:asciiTheme="minorHAnsi" w:hAnsiTheme="minorHAnsi"/>
                <w:sz w:val="24"/>
                <w:szCs w:val="24"/>
              </w:rPr>
              <w:t xml:space="preserve"> w spr</w:t>
            </w:r>
            <w:r>
              <w:rPr>
                <w:rFonts w:asciiTheme="minorHAnsi" w:hAnsiTheme="minorHAnsi"/>
                <w:sz w:val="24"/>
                <w:szCs w:val="24"/>
              </w:rPr>
              <w:t xml:space="preserve">awach karnych; </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zawiera przepisy dotyczące zakończenia procedur administracyjnych</w:t>
            </w:r>
            <w:r w:rsidR="00BE7466">
              <w:rPr>
                <w:rFonts w:asciiTheme="minorHAnsi" w:hAnsiTheme="minorHAnsi"/>
                <w:sz w:val="24"/>
                <w:szCs w:val="24"/>
              </w:rPr>
              <w:t xml:space="preserve"> i sąd</w:t>
            </w:r>
            <w:r>
              <w:rPr>
                <w:rFonts w:asciiTheme="minorHAnsi" w:hAnsiTheme="minorHAnsi"/>
                <w:sz w:val="24"/>
                <w:szCs w:val="24"/>
              </w:rPr>
              <w:t>owych (np. pomoc państwa</w:t>
            </w:r>
            <w:r w:rsidR="00BE7466">
              <w:rPr>
                <w:rFonts w:asciiTheme="minorHAnsi" w:hAnsiTheme="minorHAnsi"/>
                <w:sz w:val="24"/>
                <w:szCs w:val="24"/>
              </w:rPr>
              <w:t xml:space="preserve"> i spr</w:t>
            </w:r>
            <w:r>
              <w:rPr>
                <w:rFonts w:asciiTheme="minorHAnsi" w:hAnsiTheme="minorHAnsi"/>
                <w:sz w:val="24"/>
                <w:szCs w:val="24"/>
              </w:rPr>
              <w:t>awy</w:t>
            </w:r>
            <w:r w:rsidR="00BE7466">
              <w:rPr>
                <w:rFonts w:asciiTheme="minorHAnsi" w:hAnsiTheme="minorHAnsi"/>
                <w:sz w:val="24"/>
                <w:szCs w:val="24"/>
              </w:rPr>
              <w:t xml:space="preserve"> o nar</w:t>
            </w:r>
            <w:r>
              <w:rPr>
                <w:rFonts w:asciiTheme="minorHAnsi" w:hAnsiTheme="minorHAnsi"/>
                <w:sz w:val="24"/>
                <w:szCs w:val="24"/>
              </w:rPr>
              <w:t>uszenie przepisów);</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reguluje kwestie wykorzystania danych</w:t>
            </w:r>
            <w:r w:rsidR="00BE7466">
              <w:rPr>
                <w:rFonts w:asciiTheme="minorHAnsi" w:hAnsiTheme="minorHAnsi"/>
                <w:sz w:val="24"/>
                <w:szCs w:val="24"/>
              </w:rPr>
              <w:t xml:space="preserve"> i inf</w:t>
            </w:r>
            <w:r>
              <w:rPr>
                <w:rFonts w:asciiTheme="minorHAnsi" w:hAnsiTheme="minorHAnsi"/>
                <w:sz w:val="24"/>
                <w:szCs w:val="24"/>
              </w:rPr>
              <w:t>ormacji wymienionych przed zakończeniem okresu przejściowego</w:t>
            </w:r>
            <w:r w:rsidR="00BE7466">
              <w:rPr>
                <w:rFonts w:asciiTheme="minorHAnsi" w:hAnsiTheme="minorHAnsi"/>
                <w:sz w:val="24"/>
                <w:szCs w:val="24"/>
              </w:rPr>
              <w:t xml:space="preserve"> i zap</w:t>
            </w:r>
            <w:r>
              <w:rPr>
                <w:rFonts w:asciiTheme="minorHAnsi" w:hAnsiTheme="minorHAnsi"/>
                <w:sz w:val="24"/>
                <w:szCs w:val="24"/>
              </w:rPr>
              <w:t>ewnia ochronę danych przekazanych przed zakończeniem okresu przejściowego zgodnie</w:t>
            </w:r>
            <w:r w:rsidR="00BE7466">
              <w:rPr>
                <w:rFonts w:asciiTheme="minorHAnsi" w:hAnsiTheme="minorHAnsi"/>
                <w:sz w:val="24"/>
                <w:szCs w:val="24"/>
              </w:rPr>
              <w:t xml:space="preserve"> z zas</w:t>
            </w:r>
            <w:r>
              <w:rPr>
                <w:rFonts w:asciiTheme="minorHAnsi" w:hAnsiTheme="minorHAnsi"/>
                <w:sz w:val="24"/>
                <w:szCs w:val="24"/>
              </w:rPr>
              <w:t>adami</w:t>
            </w:r>
            <w:r w:rsidR="00BE7466">
              <w:rPr>
                <w:rFonts w:asciiTheme="minorHAnsi" w:hAnsiTheme="minorHAnsi"/>
                <w:sz w:val="24"/>
                <w:szCs w:val="24"/>
              </w:rPr>
              <w:t xml:space="preserve"> i prz</w:t>
            </w:r>
            <w:r>
              <w:rPr>
                <w:rFonts w:asciiTheme="minorHAnsi" w:hAnsiTheme="minorHAnsi"/>
                <w:sz w:val="24"/>
                <w:szCs w:val="24"/>
              </w:rPr>
              <w:t>episami przewidzianymi</w:t>
            </w:r>
            <w:r w:rsidR="00BE7466">
              <w:rPr>
                <w:rFonts w:asciiTheme="minorHAnsi" w:hAnsiTheme="minorHAnsi"/>
                <w:sz w:val="24"/>
                <w:szCs w:val="24"/>
              </w:rPr>
              <w:t xml:space="preserve"> w pra</w:t>
            </w:r>
            <w:r>
              <w:rPr>
                <w:rFonts w:asciiTheme="minorHAnsi" w:hAnsiTheme="minorHAnsi"/>
                <w:sz w:val="24"/>
                <w:szCs w:val="24"/>
              </w:rPr>
              <w:t>wie Unii;</w:t>
            </w:r>
          </w:p>
          <w:p w:rsidR="005B5E63" w:rsidRDefault="00B858F1">
            <w:pPr>
              <w:pStyle w:val="Akapitzlist"/>
              <w:numPr>
                <w:ilvl w:val="0"/>
                <w:numId w:val="12"/>
              </w:numPr>
              <w:rPr>
                <w:rFonts w:asciiTheme="minorHAnsi" w:hAnsiTheme="minorHAnsi" w:cstheme="minorHAnsi"/>
                <w:sz w:val="24"/>
                <w:szCs w:val="24"/>
              </w:rPr>
            </w:pPr>
            <w:r>
              <w:rPr>
                <w:rFonts w:asciiTheme="minorHAnsi" w:hAnsiTheme="minorHAnsi"/>
                <w:sz w:val="24"/>
                <w:szCs w:val="24"/>
              </w:rPr>
              <w:t>przewiduje odłączenie Zjednoczonego Królestwa od sieci, systemów informacyjnych</w:t>
            </w:r>
            <w:r w:rsidR="00BE7466">
              <w:rPr>
                <w:rFonts w:asciiTheme="minorHAnsi" w:hAnsiTheme="minorHAnsi"/>
                <w:sz w:val="24"/>
                <w:szCs w:val="24"/>
              </w:rPr>
              <w:t xml:space="preserve"> i baz</w:t>
            </w:r>
            <w:r>
              <w:rPr>
                <w:rFonts w:asciiTheme="minorHAnsi" w:hAnsiTheme="minorHAnsi"/>
                <w:sz w:val="24"/>
                <w:szCs w:val="24"/>
              </w:rPr>
              <w:t xml:space="preserve"> danych utworzonych na podstawie prawa Unii wraz</w:t>
            </w:r>
            <w:r w:rsidR="00BE7466">
              <w:rPr>
                <w:rFonts w:asciiTheme="minorHAnsi" w:hAnsiTheme="minorHAnsi"/>
                <w:sz w:val="24"/>
                <w:szCs w:val="24"/>
              </w:rPr>
              <w:t xml:space="preserve"> z zak</w:t>
            </w:r>
            <w:r>
              <w:rPr>
                <w:rFonts w:asciiTheme="minorHAnsi" w:hAnsiTheme="minorHAnsi"/>
                <w:sz w:val="24"/>
                <w:szCs w:val="24"/>
              </w:rPr>
              <w:t>ończeniem okresu przejściowego,</w:t>
            </w:r>
            <w:r w:rsidR="00BE7466">
              <w:rPr>
                <w:rFonts w:asciiTheme="minorHAnsi" w:hAnsiTheme="minorHAnsi"/>
                <w:sz w:val="24"/>
                <w:szCs w:val="24"/>
              </w:rPr>
              <w:t xml:space="preserve"> w szc</w:t>
            </w:r>
            <w:r>
              <w:rPr>
                <w:rFonts w:asciiTheme="minorHAnsi" w:hAnsiTheme="minorHAnsi"/>
                <w:sz w:val="24"/>
                <w:szCs w:val="24"/>
              </w:rPr>
              <w:t>zególności tych sieci, które są dostępne tylko dla państw członkowskich Unii lub państw stowarzyszonych</w:t>
            </w:r>
            <w:r w:rsidR="00BE7466">
              <w:rPr>
                <w:rFonts w:asciiTheme="minorHAnsi" w:hAnsiTheme="minorHAnsi"/>
                <w:sz w:val="24"/>
                <w:szCs w:val="24"/>
              </w:rPr>
              <w:t xml:space="preserve"> w ram</w:t>
            </w:r>
            <w:r>
              <w:rPr>
                <w:rFonts w:asciiTheme="minorHAnsi" w:hAnsiTheme="minorHAnsi"/>
                <w:sz w:val="24"/>
                <w:szCs w:val="24"/>
              </w:rPr>
              <w:t>ach Schengen;</w:t>
            </w:r>
          </w:p>
          <w:p w:rsidR="005B5E63" w:rsidRDefault="00B858F1">
            <w:pPr>
              <w:keepNext/>
              <w:keepLines/>
              <w:numPr>
                <w:ilvl w:val="0"/>
                <w:numId w:val="12"/>
              </w:numPr>
              <w:jc w:val="both"/>
              <w:rPr>
                <w:rFonts w:asciiTheme="minorHAnsi" w:hAnsiTheme="minorHAnsi" w:cstheme="minorHAnsi"/>
                <w:sz w:val="24"/>
                <w:szCs w:val="24"/>
              </w:rPr>
            </w:pPr>
            <w:r>
              <w:rPr>
                <w:rFonts w:asciiTheme="minorHAnsi" w:hAnsiTheme="minorHAnsi"/>
                <w:sz w:val="24"/>
                <w:szCs w:val="24"/>
              </w:rPr>
              <w:t>obejmuje kwestie bieżącej współpracy sądowej</w:t>
            </w:r>
            <w:r w:rsidR="00BE7466">
              <w:rPr>
                <w:rFonts w:asciiTheme="minorHAnsi" w:hAnsiTheme="minorHAnsi"/>
                <w:sz w:val="24"/>
                <w:szCs w:val="24"/>
              </w:rPr>
              <w:t xml:space="preserve"> w spr</w:t>
            </w:r>
            <w:r>
              <w:rPr>
                <w:rFonts w:asciiTheme="minorHAnsi" w:hAnsiTheme="minorHAnsi"/>
                <w:sz w:val="24"/>
                <w:szCs w:val="24"/>
              </w:rPr>
              <w:t>awach handlowych, dzięki czemu będzie można powoływać się na wyroki sądowe;</w:t>
            </w:r>
          </w:p>
          <w:p w:rsidR="005B5E63" w:rsidRDefault="00B858F1">
            <w:pPr>
              <w:keepNext/>
              <w:keepLines/>
              <w:numPr>
                <w:ilvl w:val="0"/>
                <w:numId w:val="12"/>
              </w:numPr>
              <w:jc w:val="both"/>
              <w:rPr>
                <w:rFonts w:asciiTheme="minorHAnsi" w:hAnsiTheme="minorHAnsi" w:cstheme="minorHAnsi"/>
              </w:rPr>
            </w:pPr>
            <w:r>
              <w:rPr>
                <w:rFonts w:asciiTheme="minorHAnsi" w:hAnsiTheme="minorHAnsi"/>
                <w:sz w:val="24"/>
                <w:szCs w:val="24"/>
              </w:rPr>
              <w:t>odnosi się do wszystkich kwestii związanych</w:t>
            </w:r>
            <w:r w:rsidR="00BE7466">
              <w:rPr>
                <w:rFonts w:asciiTheme="minorHAnsi" w:hAnsiTheme="minorHAnsi"/>
                <w:sz w:val="24"/>
                <w:szCs w:val="24"/>
              </w:rPr>
              <w:t xml:space="preserve"> z ode</w:t>
            </w:r>
            <w:r>
              <w:rPr>
                <w:rFonts w:asciiTheme="minorHAnsi" w:hAnsiTheme="minorHAnsi"/>
                <w:sz w:val="24"/>
                <w:szCs w:val="24"/>
              </w:rPr>
              <w:t>jściem Zjednoczonego Królestwa</w:t>
            </w:r>
            <w:r w:rsidR="00BE7466">
              <w:rPr>
                <w:rFonts w:asciiTheme="minorHAnsi" w:hAnsiTheme="minorHAnsi"/>
                <w:sz w:val="24"/>
                <w:szCs w:val="24"/>
              </w:rPr>
              <w:t xml:space="preserve"> z Eur</w:t>
            </w:r>
            <w:r>
              <w:rPr>
                <w:rFonts w:asciiTheme="minorHAnsi" w:hAnsiTheme="minorHAnsi"/>
                <w:sz w:val="24"/>
                <w:szCs w:val="24"/>
              </w:rPr>
              <w:t>atomu.</w:t>
            </w:r>
          </w:p>
          <w:p w:rsidR="005B5E63" w:rsidRDefault="00B858F1">
            <w:pPr>
              <w:keepNext/>
              <w:keepLines/>
              <w:jc w:val="both"/>
              <w:rPr>
                <w:rFonts w:asciiTheme="minorHAnsi" w:hAnsiTheme="minorHAnsi" w:cstheme="minorHAnsi"/>
              </w:rPr>
            </w:pPr>
            <w:r>
              <w:rPr>
                <w:rFonts w:asciiTheme="minorHAnsi" w:hAnsiTheme="minorHAnsi"/>
                <w:sz w:val="24"/>
                <w:szCs w:val="24"/>
              </w:rPr>
              <w:t>Na potrzeby realizacji umowy</w:t>
            </w:r>
            <w:r w:rsidR="00BE7466">
              <w:rPr>
                <w:rFonts w:asciiTheme="minorHAnsi" w:hAnsiTheme="minorHAnsi"/>
                <w:sz w:val="24"/>
                <w:szCs w:val="24"/>
              </w:rPr>
              <w:t xml:space="preserve"> o wys</w:t>
            </w:r>
            <w:r>
              <w:rPr>
                <w:rFonts w:asciiTheme="minorHAnsi" w:hAnsiTheme="minorHAnsi"/>
                <w:sz w:val="24"/>
                <w:szCs w:val="24"/>
              </w:rPr>
              <w:t>tąpieniu utworzono Wspólny Komitet, który nadzoruje stosowanie umowy</w:t>
            </w:r>
            <w:r w:rsidR="00BE7466">
              <w:rPr>
                <w:rFonts w:asciiTheme="minorHAnsi" w:hAnsiTheme="minorHAnsi"/>
                <w:sz w:val="24"/>
                <w:szCs w:val="24"/>
              </w:rPr>
              <w:t xml:space="preserve"> o wys</w:t>
            </w:r>
            <w:r>
              <w:rPr>
                <w:rFonts w:asciiTheme="minorHAnsi" w:hAnsiTheme="minorHAnsi"/>
                <w:sz w:val="24"/>
                <w:szCs w:val="24"/>
              </w:rPr>
              <w:t>tąpieniu. Współprzewodniczą mu wiceprzewodniczący Komisji Maroš Šefčovič oraz kanclerz Księstwa Lancaster Zjednoczonego Królestwa Michael Gove,</w:t>
            </w:r>
            <w:r w:rsidR="00BE7466">
              <w:rPr>
                <w:rFonts w:asciiTheme="minorHAnsi" w:hAnsiTheme="minorHAnsi"/>
                <w:sz w:val="24"/>
                <w:szCs w:val="24"/>
              </w:rPr>
              <w:t xml:space="preserve"> a pos</w:t>
            </w:r>
            <w:r>
              <w:rPr>
                <w:rFonts w:asciiTheme="minorHAnsi" w:hAnsiTheme="minorHAnsi"/>
                <w:sz w:val="24"/>
                <w:szCs w:val="24"/>
              </w:rPr>
              <w:t>iedzenia miały miejsce dwukrotnie (w formie telekonferencji)</w:t>
            </w:r>
            <w:r w:rsidR="00BE7466">
              <w:rPr>
                <w:rFonts w:asciiTheme="minorHAnsi" w:hAnsiTheme="minorHAnsi"/>
                <w:sz w:val="24"/>
                <w:szCs w:val="24"/>
              </w:rPr>
              <w:t xml:space="preserve"> w dni</w:t>
            </w:r>
            <w:r>
              <w:rPr>
                <w:rFonts w:asciiTheme="minorHAnsi" w:hAnsiTheme="minorHAnsi"/>
                <w:sz w:val="24"/>
                <w:szCs w:val="24"/>
              </w:rPr>
              <w:t>ach 30 marca</w:t>
            </w:r>
            <w:r w:rsidR="00BE7466">
              <w:rPr>
                <w:rFonts w:asciiTheme="minorHAnsi" w:hAnsiTheme="minorHAnsi"/>
                <w:sz w:val="24"/>
                <w:szCs w:val="24"/>
              </w:rPr>
              <w:t xml:space="preserve"> i 1</w:t>
            </w:r>
            <w:r>
              <w:rPr>
                <w:rFonts w:asciiTheme="minorHAnsi" w:hAnsiTheme="minorHAnsi"/>
                <w:sz w:val="24"/>
                <w:szCs w:val="24"/>
              </w:rPr>
              <w:t>2 czerwca 20</w:t>
            </w:r>
            <w:r w:rsidRPr="00C43387">
              <w:rPr>
                <w:rFonts w:asciiTheme="minorHAnsi" w:hAnsiTheme="minorHAnsi"/>
                <w:sz w:val="24"/>
                <w:szCs w:val="24"/>
              </w:rPr>
              <w:t>20</w:t>
            </w:r>
            <w:r w:rsidR="00C43387" w:rsidRPr="00C43387">
              <w:rPr>
                <w:rFonts w:asciiTheme="minorHAnsi" w:hAnsiTheme="minorHAnsi"/>
                <w:sz w:val="24"/>
                <w:szCs w:val="24"/>
              </w:rPr>
              <w:t> </w:t>
            </w:r>
            <w:r w:rsidRPr="00C43387">
              <w:rPr>
                <w:rFonts w:asciiTheme="minorHAnsi" w:hAnsiTheme="minorHAnsi"/>
                <w:sz w:val="24"/>
                <w:szCs w:val="24"/>
              </w:rPr>
              <w:t>r.</w:t>
            </w:r>
            <w:r>
              <w:rPr>
                <w:rFonts w:asciiTheme="minorHAnsi" w:hAnsiTheme="minorHAnsi"/>
                <w:sz w:val="24"/>
                <w:szCs w:val="24"/>
              </w:rPr>
              <w:t xml:space="preserve"> Prace rozpoczęły wyspecjalizowane komisje ds. Gibraltaru, praw obywateli, przepisów finansowych, stref suwerennych na Cyprze oraz protokołu</w:t>
            </w:r>
            <w:r w:rsidR="00BE7466">
              <w:rPr>
                <w:rFonts w:asciiTheme="minorHAnsi" w:hAnsiTheme="minorHAnsi"/>
                <w:sz w:val="24"/>
                <w:szCs w:val="24"/>
              </w:rPr>
              <w:t xml:space="preserve"> w spr</w:t>
            </w:r>
            <w:r>
              <w:rPr>
                <w:rFonts w:asciiTheme="minorHAnsi" w:hAnsiTheme="minorHAnsi"/>
                <w:sz w:val="24"/>
                <w:szCs w:val="24"/>
              </w:rPr>
              <w:t xml:space="preserve">awie </w:t>
            </w:r>
            <w:r>
              <w:rPr>
                <w:rFonts w:asciiTheme="minorHAnsi" w:hAnsiTheme="minorHAnsi"/>
                <w:sz w:val="24"/>
                <w:szCs w:val="24"/>
              </w:rPr>
              <w:lastRenderedPageBreak/>
              <w:t>Irlandii/Irlandii Północnej.</w:t>
            </w:r>
          </w:p>
        </w:tc>
      </w:tr>
    </w:tbl>
    <w:p w:rsidR="005B5E63" w:rsidRDefault="005B5E63"/>
    <w:p w:rsidR="005B5E63" w:rsidRDefault="005B5E63"/>
    <w:p w:rsidR="005B5E63" w:rsidRDefault="00B858F1">
      <w:pPr>
        <w:spacing w:after="0"/>
        <w:rPr>
          <w:rFonts w:asciiTheme="minorHAnsi" w:eastAsiaTheme="majorEastAsia" w:hAnsiTheme="minorHAnsi" w:cstheme="majorBidi"/>
          <w:b/>
          <w:sz w:val="32"/>
          <w:szCs w:val="32"/>
        </w:rPr>
      </w:pPr>
      <w:r>
        <w:br w:type="page"/>
      </w:r>
    </w:p>
    <w:p w:rsidR="005B5E63" w:rsidRDefault="00B858F1">
      <w:pPr>
        <w:pStyle w:val="Nagwek1"/>
      </w:pPr>
      <w:bookmarkStart w:id="44" w:name="_Toc46137024"/>
      <w:r>
        <w:lastRenderedPageBreak/>
        <w:t>Podsumowanie: Gotowość to klucz</w:t>
      </w:r>
      <w:bookmarkEnd w:id="44"/>
    </w:p>
    <w:p w:rsidR="005B5E63" w:rsidRDefault="00B858F1">
      <w:pPr>
        <w:jc w:val="both"/>
        <w:rPr>
          <w:rFonts w:asciiTheme="minorHAnsi" w:hAnsiTheme="minorHAnsi" w:cstheme="minorHAnsi"/>
          <w:sz w:val="24"/>
        </w:rPr>
      </w:pPr>
      <w:r>
        <w:rPr>
          <w:rFonts w:asciiTheme="minorHAnsi" w:hAnsiTheme="minorHAnsi"/>
          <w:sz w:val="24"/>
        </w:rPr>
        <w:t>Unia Europejska dołoży wszelkich starań, aby osiągnąć</w:t>
      </w:r>
      <w:r w:rsidR="00BE7466">
        <w:rPr>
          <w:rFonts w:asciiTheme="minorHAnsi" w:hAnsiTheme="minorHAnsi"/>
          <w:sz w:val="24"/>
        </w:rPr>
        <w:t xml:space="preserve"> w prz</w:t>
      </w:r>
      <w:r>
        <w:rPr>
          <w:rFonts w:asciiTheme="minorHAnsi" w:hAnsiTheme="minorHAnsi"/>
          <w:sz w:val="24"/>
        </w:rPr>
        <w:t xml:space="preserve">yszłości ambitne porozumienie ze Zjednoczonym Królestwem. </w:t>
      </w:r>
    </w:p>
    <w:p w:rsidR="005B5E63" w:rsidRDefault="00B858F1">
      <w:pPr>
        <w:jc w:val="both"/>
        <w:rPr>
          <w:rFonts w:asciiTheme="minorHAnsi" w:hAnsiTheme="minorHAnsi" w:cstheme="minorHAnsi"/>
          <w:sz w:val="24"/>
          <w:szCs w:val="24"/>
        </w:rPr>
      </w:pPr>
      <w:r>
        <w:rPr>
          <w:rFonts w:asciiTheme="minorHAnsi" w:hAnsiTheme="minorHAnsi"/>
          <w:sz w:val="24"/>
        </w:rPr>
        <w:t>Z niniejszego komunikatu wynika jednak, że nawet</w:t>
      </w:r>
      <w:r w:rsidR="00BE7466">
        <w:rPr>
          <w:rFonts w:asciiTheme="minorHAnsi" w:hAnsiTheme="minorHAnsi"/>
          <w:sz w:val="24"/>
        </w:rPr>
        <w:t xml:space="preserve"> w prz</w:t>
      </w:r>
      <w:r>
        <w:rPr>
          <w:rFonts w:asciiTheme="minorHAnsi" w:hAnsiTheme="minorHAnsi"/>
          <w:sz w:val="24"/>
        </w:rPr>
        <w:t>ypadku najbardziej ambitnego przyszłego partnerstwa – opartego na wytycznych negocjacyjnych Unii Europejskiej dotyczących nowego partnerstwa ze Zjednoczonym Królestwem,</w:t>
      </w:r>
      <w:r>
        <w:rPr>
          <w:rStyle w:val="Odwoanieprzypisudolnego"/>
          <w:rFonts w:asciiTheme="minorHAnsi" w:hAnsiTheme="minorHAnsi" w:cstheme="minorHAnsi"/>
          <w:sz w:val="24"/>
        </w:rPr>
        <w:footnoteReference w:id="38"/>
      </w:r>
      <w:r>
        <w:rPr>
          <w:rFonts w:asciiTheme="minorHAnsi" w:hAnsiTheme="minorHAnsi"/>
          <w:sz w:val="24"/>
        </w:rPr>
        <w:t xml:space="preserve"> przyjętych</w:t>
      </w:r>
      <w:r w:rsidR="00BE7466">
        <w:rPr>
          <w:rFonts w:asciiTheme="minorHAnsi" w:hAnsiTheme="minorHAnsi"/>
          <w:sz w:val="24"/>
        </w:rPr>
        <w:t xml:space="preserve"> w dni</w:t>
      </w:r>
      <w:r>
        <w:rPr>
          <w:rFonts w:asciiTheme="minorHAnsi" w:hAnsiTheme="minorHAnsi"/>
          <w:sz w:val="24"/>
        </w:rPr>
        <w:t>u 25 lutego 20</w:t>
      </w:r>
      <w:r w:rsidRPr="00C43387">
        <w:rPr>
          <w:rFonts w:asciiTheme="minorHAnsi" w:hAnsiTheme="minorHAnsi"/>
          <w:sz w:val="24"/>
        </w:rPr>
        <w:t>20</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oraz na projekcie tekstu umowy</w:t>
      </w:r>
      <w:r w:rsidR="00BE7466">
        <w:rPr>
          <w:rFonts w:asciiTheme="minorHAnsi" w:hAnsiTheme="minorHAnsi"/>
          <w:sz w:val="24"/>
        </w:rPr>
        <w:t xml:space="preserve"> w spr</w:t>
      </w:r>
      <w:r>
        <w:rPr>
          <w:rFonts w:asciiTheme="minorHAnsi" w:hAnsiTheme="minorHAnsi"/>
          <w:sz w:val="24"/>
        </w:rPr>
        <w:t>awie nowego partnerstwa między Unią Europejską</w:t>
      </w:r>
      <w:r w:rsidR="00BE7466">
        <w:rPr>
          <w:rFonts w:asciiTheme="minorHAnsi" w:hAnsiTheme="minorHAnsi"/>
          <w:sz w:val="24"/>
        </w:rPr>
        <w:t xml:space="preserve"> a Zje</w:t>
      </w:r>
      <w:r>
        <w:rPr>
          <w:rFonts w:asciiTheme="minorHAnsi" w:hAnsiTheme="minorHAnsi"/>
          <w:sz w:val="24"/>
        </w:rPr>
        <w:t>dnoczonym Królestwem,</w:t>
      </w:r>
      <w:r>
        <w:rPr>
          <w:rFonts w:asciiTheme="minorHAnsi" w:hAnsiTheme="minorHAnsi" w:cstheme="minorHAnsi"/>
          <w:sz w:val="24"/>
          <w:vertAlign w:val="superscript"/>
        </w:rPr>
        <w:footnoteReference w:id="39"/>
      </w:r>
      <w:r>
        <w:rPr>
          <w:rFonts w:asciiTheme="minorHAnsi" w:hAnsiTheme="minorHAnsi"/>
          <w:sz w:val="24"/>
        </w:rPr>
        <w:t xml:space="preserve"> opublikowanym</w:t>
      </w:r>
      <w:r w:rsidR="00BE7466">
        <w:rPr>
          <w:rFonts w:asciiTheme="minorHAnsi" w:hAnsiTheme="minorHAnsi"/>
          <w:sz w:val="24"/>
        </w:rPr>
        <w:t xml:space="preserve"> w dni</w:t>
      </w:r>
      <w:r>
        <w:rPr>
          <w:rFonts w:asciiTheme="minorHAnsi" w:hAnsiTheme="minorHAnsi"/>
          <w:sz w:val="24"/>
        </w:rPr>
        <w:t>u 17 marca 20</w:t>
      </w:r>
      <w:r w:rsidRPr="00C43387">
        <w:rPr>
          <w:rFonts w:asciiTheme="minorHAnsi" w:hAnsiTheme="minorHAnsi"/>
          <w:sz w:val="24"/>
        </w:rPr>
        <w:t>20</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 </w:t>
      </w:r>
      <w:r>
        <w:rPr>
          <w:rFonts w:asciiTheme="minorHAnsi" w:hAnsiTheme="minorHAnsi"/>
          <w:b/>
          <w:sz w:val="24"/>
        </w:rPr>
        <w:t>od dnia 1 stycznia 20</w:t>
      </w:r>
      <w:r w:rsidRPr="00C43387">
        <w:rPr>
          <w:rFonts w:asciiTheme="minorHAnsi" w:hAnsiTheme="minorHAnsi"/>
          <w:b/>
          <w:sz w:val="24"/>
        </w:rPr>
        <w:t>21</w:t>
      </w:r>
      <w:r w:rsidR="00C43387" w:rsidRPr="00C43387">
        <w:rPr>
          <w:rFonts w:asciiTheme="minorHAnsi" w:hAnsiTheme="minorHAnsi"/>
          <w:b/>
          <w:sz w:val="24"/>
        </w:rPr>
        <w:t> </w:t>
      </w:r>
      <w:r w:rsidRPr="00C43387">
        <w:rPr>
          <w:rFonts w:asciiTheme="minorHAnsi" w:hAnsiTheme="minorHAnsi"/>
          <w:b/>
          <w:sz w:val="24"/>
        </w:rPr>
        <w:t>r.</w:t>
      </w:r>
      <w:r>
        <w:rPr>
          <w:rFonts w:asciiTheme="minorHAnsi" w:hAnsiTheme="minorHAnsi"/>
          <w:b/>
          <w:sz w:val="24"/>
        </w:rPr>
        <w:t xml:space="preserve"> nastąpią daleko idące</w:t>
      </w:r>
      <w:r w:rsidR="00BE7466">
        <w:rPr>
          <w:rFonts w:asciiTheme="minorHAnsi" w:hAnsiTheme="minorHAnsi"/>
          <w:b/>
          <w:sz w:val="24"/>
        </w:rPr>
        <w:t xml:space="preserve"> </w:t>
      </w:r>
      <w:r w:rsidR="00BE7466">
        <w:rPr>
          <w:rFonts w:asciiTheme="minorHAnsi" w:hAnsiTheme="minorHAnsi"/>
          <w:b/>
          <w:sz w:val="24"/>
          <w:szCs w:val="24"/>
        </w:rPr>
        <w:t>i</w:t>
      </w:r>
      <w:r w:rsidR="00BE7466">
        <w:rPr>
          <w:rFonts w:asciiTheme="minorHAnsi" w:hAnsiTheme="minorHAnsi"/>
          <w:b/>
          <w:sz w:val="24"/>
        </w:rPr>
        <w:t> </w:t>
      </w:r>
      <w:r w:rsidR="00BE7466">
        <w:rPr>
          <w:rFonts w:asciiTheme="minorHAnsi" w:hAnsiTheme="minorHAnsi"/>
          <w:b/>
          <w:sz w:val="24"/>
          <w:szCs w:val="24"/>
        </w:rPr>
        <w:t>aut</w:t>
      </w:r>
      <w:r>
        <w:rPr>
          <w:rFonts w:asciiTheme="minorHAnsi" w:hAnsiTheme="minorHAnsi"/>
          <w:b/>
          <w:sz w:val="24"/>
          <w:szCs w:val="24"/>
        </w:rPr>
        <w:t>omatyczne zmiany</w:t>
      </w:r>
      <w:r w:rsidR="00BE7466">
        <w:rPr>
          <w:rFonts w:asciiTheme="minorHAnsi" w:hAnsiTheme="minorHAnsi"/>
          <w:b/>
          <w:sz w:val="24"/>
          <w:szCs w:val="24"/>
        </w:rPr>
        <w:t xml:space="preserve"> i kon</w:t>
      </w:r>
      <w:r>
        <w:rPr>
          <w:rFonts w:asciiTheme="minorHAnsi" w:hAnsiTheme="minorHAnsi"/>
          <w:b/>
          <w:sz w:val="24"/>
          <w:szCs w:val="24"/>
        </w:rPr>
        <w:t>sekwencje dla obywateli, konsumentów, przedsiębiorstw, administracji publicznych, inwestorów, studentów</w:t>
      </w:r>
      <w:r w:rsidR="00BE7466">
        <w:rPr>
          <w:rFonts w:asciiTheme="minorHAnsi" w:hAnsiTheme="minorHAnsi"/>
          <w:b/>
          <w:sz w:val="24"/>
          <w:szCs w:val="24"/>
        </w:rPr>
        <w:t xml:space="preserve"> i nau</w:t>
      </w:r>
      <w:r>
        <w:rPr>
          <w:rFonts w:asciiTheme="minorHAnsi" w:hAnsiTheme="minorHAnsi"/>
          <w:b/>
          <w:sz w:val="24"/>
          <w:szCs w:val="24"/>
        </w:rPr>
        <w:t>kowców</w:t>
      </w:r>
      <w:r>
        <w:rPr>
          <w:rFonts w:asciiTheme="minorHAnsi" w:hAnsiTheme="minorHAnsi"/>
          <w:sz w:val="24"/>
          <w:szCs w:val="24"/>
        </w:rPr>
        <w:t xml:space="preserve">. </w:t>
      </w:r>
    </w:p>
    <w:p w:rsidR="005B5E63" w:rsidRDefault="00B858F1">
      <w:pPr>
        <w:jc w:val="both"/>
        <w:rPr>
          <w:rFonts w:asciiTheme="minorHAnsi" w:hAnsiTheme="minorHAnsi" w:cstheme="minorHAnsi"/>
          <w:sz w:val="24"/>
          <w:szCs w:val="24"/>
        </w:rPr>
      </w:pPr>
      <w:r>
        <w:rPr>
          <w:rFonts w:asciiTheme="minorHAnsi" w:hAnsiTheme="minorHAnsi"/>
          <w:sz w:val="24"/>
          <w:szCs w:val="24"/>
        </w:rPr>
        <w:t>Niezależnie od wyniku toczących się negocjacji zmiany te są nieuniknione ze względu na decyzję Zjednoczonego Królestwa</w:t>
      </w:r>
      <w:r w:rsidR="00BE7466">
        <w:rPr>
          <w:rFonts w:asciiTheme="minorHAnsi" w:hAnsiTheme="minorHAnsi"/>
          <w:sz w:val="24"/>
          <w:szCs w:val="24"/>
        </w:rPr>
        <w:t xml:space="preserve"> o wyc</w:t>
      </w:r>
      <w:r>
        <w:rPr>
          <w:rFonts w:asciiTheme="minorHAnsi" w:hAnsiTheme="minorHAnsi"/>
          <w:sz w:val="24"/>
          <w:szCs w:val="24"/>
        </w:rPr>
        <w:t>ofaniu się</w:t>
      </w:r>
      <w:r w:rsidR="00BE7466">
        <w:rPr>
          <w:rFonts w:asciiTheme="minorHAnsi" w:hAnsiTheme="minorHAnsi"/>
          <w:sz w:val="24"/>
          <w:szCs w:val="24"/>
        </w:rPr>
        <w:t xml:space="preserve"> z </w:t>
      </w:r>
      <w:r w:rsidR="00BE7466">
        <w:rPr>
          <w:rFonts w:asciiTheme="minorHAnsi" w:hAnsiTheme="minorHAnsi"/>
          <w:sz w:val="24"/>
        </w:rPr>
        <w:t>Uni</w:t>
      </w:r>
      <w:r>
        <w:rPr>
          <w:rFonts w:asciiTheme="minorHAnsi" w:hAnsiTheme="minorHAnsi"/>
          <w:sz w:val="24"/>
        </w:rPr>
        <w:t>i Europejskiej</w:t>
      </w:r>
      <w:r>
        <w:rPr>
          <w:rFonts w:asciiTheme="minorHAnsi" w:hAnsiTheme="minorHAnsi"/>
          <w:sz w:val="24"/>
          <w:szCs w:val="24"/>
        </w:rPr>
        <w:t xml:space="preserve">, jej jednolitego rynku oraz unii celnej. </w:t>
      </w:r>
      <w:r>
        <w:rPr>
          <w:rFonts w:asciiTheme="minorHAnsi" w:hAnsiTheme="minorHAnsi"/>
          <w:sz w:val="24"/>
        </w:rPr>
        <w:t>Swobodny przepływ osób, towarów</w:t>
      </w:r>
      <w:r w:rsidR="00BE7466">
        <w:rPr>
          <w:rFonts w:asciiTheme="minorHAnsi" w:hAnsiTheme="minorHAnsi"/>
          <w:sz w:val="24"/>
        </w:rPr>
        <w:t xml:space="preserve"> i usł</w:t>
      </w:r>
      <w:r>
        <w:rPr>
          <w:rFonts w:asciiTheme="minorHAnsi" w:hAnsiTheme="minorHAnsi"/>
          <w:sz w:val="24"/>
        </w:rPr>
        <w:t>ug przewidziany</w:t>
      </w:r>
      <w:r w:rsidR="00BE7466">
        <w:rPr>
          <w:rFonts w:asciiTheme="minorHAnsi" w:hAnsiTheme="minorHAnsi"/>
          <w:sz w:val="24"/>
        </w:rPr>
        <w:t xml:space="preserve"> w pra</w:t>
      </w:r>
      <w:r>
        <w:rPr>
          <w:rFonts w:asciiTheme="minorHAnsi" w:hAnsiTheme="minorHAnsi"/>
          <w:sz w:val="24"/>
        </w:rPr>
        <w:t>wie Unii przestanie obowiązywać wraz</w:t>
      </w:r>
      <w:r w:rsidR="00BE7466">
        <w:rPr>
          <w:rFonts w:asciiTheme="minorHAnsi" w:hAnsiTheme="minorHAnsi"/>
          <w:sz w:val="24"/>
        </w:rPr>
        <w:t xml:space="preserve"> z zak</w:t>
      </w:r>
      <w:r>
        <w:rPr>
          <w:rFonts w:asciiTheme="minorHAnsi" w:hAnsiTheme="minorHAnsi"/>
          <w:sz w:val="24"/>
        </w:rPr>
        <w:t>ończeniem okresu przejściowego. Będzie to miało daleko idące skutki,</w:t>
      </w:r>
      <w:r w:rsidR="00BE7466">
        <w:rPr>
          <w:rFonts w:asciiTheme="minorHAnsi" w:hAnsiTheme="minorHAnsi"/>
          <w:sz w:val="24"/>
        </w:rPr>
        <w:t xml:space="preserve"> w szc</w:t>
      </w:r>
      <w:r>
        <w:rPr>
          <w:rFonts w:asciiTheme="minorHAnsi" w:hAnsiTheme="minorHAnsi"/>
          <w:sz w:val="24"/>
        </w:rPr>
        <w:t>zególności dla handlu transgranicznego towarami</w:t>
      </w:r>
      <w:r w:rsidR="00BE7466">
        <w:rPr>
          <w:rFonts w:asciiTheme="minorHAnsi" w:hAnsiTheme="minorHAnsi"/>
          <w:sz w:val="24"/>
        </w:rPr>
        <w:t xml:space="preserve"> i usł</w:t>
      </w:r>
      <w:r>
        <w:rPr>
          <w:rFonts w:asciiTheme="minorHAnsi" w:hAnsiTheme="minorHAnsi"/>
          <w:sz w:val="24"/>
        </w:rPr>
        <w:t xml:space="preserve">ugami, jak również dla mobilności ludzi. </w:t>
      </w:r>
    </w:p>
    <w:p w:rsidR="005B5E63" w:rsidRDefault="00B858F1">
      <w:pPr>
        <w:jc w:val="both"/>
        <w:rPr>
          <w:rFonts w:asciiTheme="minorHAnsi" w:hAnsiTheme="minorHAnsi" w:cstheme="minorHAnsi"/>
          <w:sz w:val="24"/>
        </w:rPr>
      </w:pPr>
      <w:r>
        <w:rPr>
          <w:rFonts w:asciiTheme="minorHAnsi" w:hAnsiTheme="minorHAnsi"/>
          <w:sz w:val="24"/>
        </w:rPr>
        <w:t>W związku</w:t>
      </w:r>
      <w:r w:rsidR="00BE7466">
        <w:rPr>
          <w:rFonts w:asciiTheme="minorHAnsi" w:hAnsiTheme="minorHAnsi"/>
          <w:sz w:val="24"/>
        </w:rPr>
        <w:t xml:space="preserve"> z tym</w:t>
      </w:r>
      <w:r>
        <w:rPr>
          <w:rFonts w:asciiTheme="minorHAnsi" w:hAnsiTheme="minorHAnsi"/>
          <w:sz w:val="24"/>
        </w:rPr>
        <w:t xml:space="preserve"> Komisja wzywa wszystkie organy administracji publicznej, obywateli, przedsiębiorstwa</w:t>
      </w:r>
      <w:r w:rsidR="00BE7466">
        <w:rPr>
          <w:rFonts w:asciiTheme="minorHAnsi" w:hAnsiTheme="minorHAnsi"/>
          <w:sz w:val="24"/>
        </w:rPr>
        <w:t xml:space="preserve"> i inn</w:t>
      </w:r>
      <w:r>
        <w:rPr>
          <w:rFonts w:asciiTheme="minorHAnsi" w:hAnsiTheme="minorHAnsi"/>
          <w:sz w:val="24"/>
        </w:rPr>
        <w:t>e zainteresowane strony do upewnienia się, że są gotowi na te nieuniknione zmiany. Niezastosowanie takich środków przygotowawczych zwiększy negatywny wpływ na działania tych podmiotów</w:t>
      </w:r>
      <w:r w:rsidR="00BE7466">
        <w:rPr>
          <w:rFonts w:asciiTheme="minorHAnsi" w:hAnsiTheme="minorHAnsi"/>
          <w:sz w:val="24"/>
        </w:rPr>
        <w:t xml:space="preserve"> i kos</w:t>
      </w:r>
      <w:r>
        <w:rPr>
          <w:rFonts w:asciiTheme="minorHAnsi" w:hAnsiTheme="minorHAnsi"/>
          <w:sz w:val="24"/>
        </w:rPr>
        <w:t>zty ich działań</w:t>
      </w:r>
      <w:r w:rsidR="00BE7466">
        <w:rPr>
          <w:rFonts w:asciiTheme="minorHAnsi" w:hAnsiTheme="minorHAnsi"/>
          <w:sz w:val="24"/>
        </w:rPr>
        <w:t xml:space="preserve"> z chw</w:t>
      </w:r>
      <w:r>
        <w:rPr>
          <w:rFonts w:asciiTheme="minorHAnsi" w:hAnsiTheme="minorHAnsi"/>
          <w:sz w:val="24"/>
        </w:rPr>
        <w:t xml:space="preserve">ilą zakończenia okresu przejściowego. </w:t>
      </w:r>
    </w:p>
    <w:p w:rsidR="005B5E63" w:rsidRDefault="00B858F1">
      <w:pPr>
        <w:jc w:val="both"/>
        <w:rPr>
          <w:rFonts w:asciiTheme="minorHAnsi" w:hAnsiTheme="minorHAnsi" w:cstheme="minorHAnsi"/>
          <w:sz w:val="24"/>
        </w:rPr>
      </w:pPr>
      <w:r>
        <w:rPr>
          <w:rFonts w:asciiTheme="minorHAnsi" w:hAnsiTheme="minorHAnsi"/>
          <w:sz w:val="24"/>
        </w:rPr>
        <w:t>Ostatecznie to do przedsiębiorstw</w:t>
      </w:r>
      <w:r w:rsidR="00BE7466">
        <w:rPr>
          <w:rFonts w:asciiTheme="minorHAnsi" w:hAnsiTheme="minorHAnsi"/>
          <w:sz w:val="24"/>
        </w:rPr>
        <w:t xml:space="preserve"> i inn</w:t>
      </w:r>
      <w:r>
        <w:rPr>
          <w:rFonts w:asciiTheme="minorHAnsi" w:hAnsiTheme="minorHAnsi"/>
          <w:sz w:val="24"/>
        </w:rPr>
        <w:t>ych zainteresowanych stron należy przeprowadzenie własnej oceny ryzyka</w:t>
      </w:r>
      <w:r w:rsidR="00BE7466">
        <w:rPr>
          <w:rFonts w:asciiTheme="minorHAnsi" w:hAnsiTheme="minorHAnsi"/>
          <w:sz w:val="24"/>
        </w:rPr>
        <w:t xml:space="preserve"> i wdr</w:t>
      </w:r>
      <w:r>
        <w:rPr>
          <w:rFonts w:asciiTheme="minorHAnsi" w:hAnsiTheme="minorHAnsi"/>
          <w:sz w:val="24"/>
        </w:rPr>
        <w:t>ożenie własnych działań na rzecz gotowości</w:t>
      </w:r>
      <w:r w:rsidR="00BE7466">
        <w:rPr>
          <w:rFonts w:asciiTheme="minorHAnsi" w:hAnsiTheme="minorHAnsi"/>
          <w:sz w:val="24"/>
        </w:rPr>
        <w:t xml:space="preserve"> w świ</w:t>
      </w:r>
      <w:r>
        <w:rPr>
          <w:rFonts w:asciiTheme="minorHAnsi" w:hAnsiTheme="minorHAnsi"/>
          <w:sz w:val="24"/>
        </w:rPr>
        <w:t>etle ich indywidualnej sytuacji, jednak nikt nie powinien lekceważyć wyzwań logistycznych, jakie pojawią się</w:t>
      </w:r>
      <w:r w:rsidR="00BE7466">
        <w:rPr>
          <w:rFonts w:asciiTheme="minorHAnsi" w:hAnsiTheme="minorHAnsi"/>
          <w:sz w:val="24"/>
        </w:rPr>
        <w:t xml:space="preserve"> z dni</w:t>
      </w:r>
      <w:r>
        <w:rPr>
          <w:rFonts w:asciiTheme="minorHAnsi" w:hAnsiTheme="minorHAnsi"/>
          <w:sz w:val="24"/>
        </w:rPr>
        <w:t>em 1 stycznia 20</w:t>
      </w:r>
      <w:r w:rsidRPr="00C43387">
        <w:rPr>
          <w:rFonts w:asciiTheme="minorHAnsi" w:hAnsiTheme="minorHAnsi"/>
          <w:sz w:val="24"/>
        </w:rPr>
        <w:t>21</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oprócz zmian prawnych opisanych</w:t>
      </w:r>
      <w:r w:rsidR="00BE7466">
        <w:rPr>
          <w:rFonts w:asciiTheme="minorHAnsi" w:hAnsiTheme="minorHAnsi"/>
          <w:sz w:val="24"/>
        </w:rPr>
        <w:t xml:space="preserve"> w nin</w:t>
      </w:r>
      <w:r>
        <w:rPr>
          <w:rFonts w:asciiTheme="minorHAnsi" w:hAnsiTheme="minorHAnsi"/>
          <w:sz w:val="24"/>
        </w:rPr>
        <w:t>iejszym komunikacie.</w:t>
      </w:r>
    </w:p>
    <w:p w:rsidR="005B5E63" w:rsidRDefault="00B858F1">
      <w:pPr>
        <w:jc w:val="both"/>
        <w:rPr>
          <w:rFonts w:asciiTheme="minorHAnsi" w:hAnsiTheme="minorHAnsi" w:cstheme="minorHAnsi"/>
          <w:sz w:val="24"/>
        </w:rPr>
      </w:pPr>
      <w:r>
        <w:rPr>
          <w:rFonts w:asciiTheme="minorHAnsi" w:hAnsiTheme="minorHAnsi"/>
          <w:sz w:val="24"/>
        </w:rPr>
        <w:t>Komisja</w:t>
      </w:r>
      <w:r>
        <w:rPr>
          <w:rFonts w:asciiTheme="minorHAnsi" w:hAnsiTheme="minorHAnsi"/>
          <w:b/>
          <w:sz w:val="24"/>
        </w:rPr>
        <w:t xml:space="preserve"> </w:t>
      </w:r>
      <w:r>
        <w:rPr>
          <w:rFonts w:asciiTheme="minorHAnsi" w:hAnsiTheme="minorHAnsi"/>
          <w:sz w:val="24"/>
        </w:rPr>
        <w:t>wzywa państwa członkowskie do kontynuowania krajowych działań</w:t>
      </w:r>
      <w:r w:rsidR="00BE7466">
        <w:rPr>
          <w:rFonts w:asciiTheme="minorHAnsi" w:hAnsiTheme="minorHAnsi"/>
          <w:sz w:val="24"/>
        </w:rPr>
        <w:t xml:space="preserve"> w zak</w:t>
      </w:r>
      <w:r>
        <w:rPr>
          <w:rFonts w:asciiTheme="minorHAnsi" w:hAnsiTheme="minorHAnsi"/>
          <w:sz w:val="24"/>
        </w:rPr>
        <w:t>resie komunikacji</w:t>
      </w:r>
      <w:r w:rsidR="00BE7466">
        <w:rPr>
          <w:rFonts w:asciiTheme="minorHAnsi" w:hAnsiTheme="minorHAnsi"/>
          <w:sz w:val="24"/>
        </w:rPr>
        <w:t xml:space="preserve"> i pod</w:t>
      </w:r>
      <w:r>
        <w:rPr>
          <w:rFonts w:asciiTheme="minorHAnsi" w:hAnsiTheme="minorHAnsi"/>
          <w:sz w:val="24"/>
        </w:rPr>
        <w:t>noszenia świadomości oraz zachęca administracje publiczne, obywateli, przedsiębiorstwa</w:t>
      </w:r>
      <w:r w:rsidR="00BE7466">
        <w:rPr>
          <w:rFonts w:asciiTheme="minorHAnsi" w:hAnsiTheme="minorHAnsi"/>
          <w:sz w:val="24"/>
        </w:rPr>
        <w:t xml:space="preserve"> i zai</w:t>
      </w:r>
      <w:r>
        <w:rPr>
          <w:rFonts w:asciiTheme="minorHAnsi" w:hAnsiTheme="minorHAnsi"/>
          <w:sz w:val="24"/>
        </w:rPr>
        <w:t>nteresowane strony do wprowadzenia niezbędnych środków na rzecz gotowości. Wysiłki te muszą być dostosowane do sytuacji zainteresowanych stron</w:t>
      </w:r>
      <w:r w:rsidR="00BE7466">
        <w:rPr>
          <w:rFonts w:asciiTheme="minorHAnsi" w:hAnsiTheme="minorHAnsi"/>
          <w:sz w:val="24"/>
        </w:rPr>
        <w:t xml:space="preserve"> w pos</w:t>
      </w:r>
      <w:r>
        <w:rPr>
          <w:rFonts w:asciiTheme="minorHAnsi" w:hAnsiTheme="minorHAnsi"/>
          <w:sz w:val="24"/>
        </w:rPr>
        <w:t>zczególnych państwach członkowskich</w:t>
      </w:r>
      <w:r w:rsidR="00BE7466">
        <w:rPr>
          <w:rFonts w:asciiTheme="minorHAnsi" w:hAnsiTheme="minorHAnsi"/>
          <w:sz w:val="24"/>
        </w:rPr>
        <w:t>. W nad</w:t>
      </w:r>
      <w:r>
        <w:rPr>
          <w:rFonts w:asciiTheme="minorHAnsi" w:hAnsiTheme="minorHAnsi"/>
          <w:sz w:val="24"/>
        </w:rPr>
        <w:t xml:space="preserve">chodzących miesiącach Komisja będzie </w:t>
      </w:r>
      <w:r>
        <w:rPr>
          <w:rFonts w:asciiTheme="minorHAnsi" w:hAnsiTheme="minorHAnsi"/>
          <w:sz w:val="24"/>
        </w:rPr>
        <w:lastRenderedPageBreak/>
        <w:t>współpracować ze wszystkimi państwami członkowskimi</w:t>
      </w:r>
      <w:r w:rsidR="00BE7466">
        <w:rPr>
          <w:rFonts w:asciiTheme="minorHAnsi" w:hAnsiTheme="minorHAnsi"/>
          <w:sz w:val="24"/>
        </w:rPr>
        <w:t xml:space="preserve"> w cel</w:t>
      </w:r>
      <w:r>
        <w:rPr>
          <w:rFonts w:asciiTheme="minorHAnsi" w:hAnsiTheme="minorHAnsi"/>
          <w:sz w:val="24"/>
        </w:rPr>
        <w:t>u dokonania przeglądu gotowości na wszystkie aspekty wystąpienia oraz</w:t>
      </w:r>
      <w:r w:rsidR="00BE7466">
        <w:rPr>
          <w:rFonts w:asciiTheme="minorHAnsi" w:hAnsiTheme="minorHAnsi"/>
          <w:sz w:val="24"/>
        </w:rPr>
        <w:t xml:space="preserve"> w cel</w:t>
      </w:r>
      <w:r>
        <w:rPr>
          <w:rFonts w:asciiTheme="minorHAnsi" w:hAnsiTheme="minorHAnsi"/>
          <w:sz w:val="24"/>
        </w:rPr>
        <w:t>u ułatwienia administracjom publicznym podejmowania wysiłków na rzecz podnoszenia świadomości zainteresowanych stron.</w:t>
      </w:r>
    </w:p>
    <w:p w:rsidR="005B5E63" w:rsidRDefault="00B858F1">
      <w:pPr>
        <w:jc w:val="both"/>
        <w:rPr>
          <w:rFonts w:asciiTheme="minorHAnsi" w:hAnsiTheme="minorHAnsi" w:cstheme="minorHAnsi"/>
          <w:sz w:val="24"/>
        </w:rPr>
      </w:pPr>
      <w:r>
        <w:rPr>
          <w:rFonts w:asciiTheme="minorHAnsi" w:hAnsiTheme="minorHAnsi"/>
          <w:sz w:val="24"/>
        </w:rPr>
        <w:t>Zainteresowane strony proszone są również</w:t>
      </w:r>
      <w:r w:rsidR="00BE7466">
        <w:rPr>
          <w:rFonts w:asciiTheme="minorHAnsi" w:hAnsiTheme="minorHAnsi"/>
          <w:sz w:val="24"/>
        </w:rPr>
        <w:t xml:space="preserve"> o pon</w:t>
      </w:r>
      <w:r>
        <w:rPr>
          <w:rFonts w:asciiTheme="minorHAnsi" w:hAnsiTheme="minorHAnsi"/>
          <w:sz w:val="24"/>
        </w:rPr>
        <w:t>owne zapoznanie się</w:t>
      </w:r>
      <w:r w:rsidR="00BE7466">
        <w:rPr>
          <w:rFonts w:asciiTheme="minorHAnsi" w:hAnsiTheme="minorHAnsi"/>
          <w:sz w:val="24"/>
        </w:rPr>
        <w:t xml:space="preserve"> z zaw</w:t>
      </w:r>
      <w:r>
        <w:rPr>
          <w:rFonts w:asciiTheme="minorHAnsi" w:hAnsiTheme="minorHAnsi"/>
          <w:sz w:val="24"/>
        </w:rPr>
        <w:t>iadomieniami, które opublikowano</w:t>
      </w:r>
      <w:r w:rsidR="00BE7466">
        <w:rPr>
          <w:rFonts w:asciiTheme="minorHAnsi" w:hAnsiTheme="minorHAnsi"/>
          <w:sz w:val="24"/>
        </w:rPr>
        <w:t xml:space="preserve"> w tra</w:t>
      </w:r>
      <w:r>
        <w:rPr>
          <w:rFonts w:asciiTheme="minorHAnsi" w:hAnsiTheme="minorHAnsi"/>
          <w:sz w:val="24"/>
        </w:rPr>
        <w:t xml:space="preserve">kcie negocjacji na podstawie </w:t>
      </w:r>
      <w:r w:rsidRPr="00C43387">
        <w:rPr>
          <w:rFonts w:asciiTheme="minorHAnsi" w:hAnsiTheme="minorHAnsi"/>
          <w:sz w:val="24"/>
        </w:rPr>
        <w:t>art.</w:t>
      </w:r>
      <w:r w:rsidR="00C43387" w:rsidRPr="00C43387">
        <w:rPr>
          <w:rFonts w:asciiTheme="minorHAnsi" w:hAnsiTheme="minorHAnsi"/>
          <w:sz w:val="24"/>
        </w:rPr>
        <w:t> </w:t>
      </w:r>
      <w:r w:rsidRPr="00C43387">
        <w:rPr>
          <w:rFonts w:asciiTheme="minorHAnsi" w:hAnsiTheme="minorHAnsi"/>
          <w:sz w:val="24"/>
        </w:rPr>
        <w:t>5</w:t>
      </w:r>
      <w:r>
        <w:rPr>
          <w:rFonts w:asciiTheme="minorHAnsi" w:hAnsiTheme="minorHAnsi"/>
          <w:sz w:val="24"/>
        </w:rPr>
        <w:t>0 prowadzonych ze Zjednoczonym Królestwem, oraz</w:t>
      </w:r>
      <w:r w:rsidR="00BE7466">
        <w:rPr>
          <w:rFonts w:asciiTheme="minorHAnsi" w:hAnsiTheme="minorHAnsi"/>
          <w:sz w:val="24"/>
        </w:rPr>
        <w:t xml:space="preserve"> o zap</w:t>
      </w:r>
      <w:r>
        <w:rPr>
          <w:rFonts w:asciiTheme="minorHAnsi" w:hAnsiTheme="minorHAnsi"/>
          <w:sz w:val="24"/>
        </w:rPr>
        <w:t>oznanie się ze stronami internetowymi Komisji poświęconymi gotowości</w:t>
      </w:r>
      <w:r w:rsidR="00BE7466">
        <w:rPr>
          <w:rFonts w:asciiTheme="minorHAnsi" w:hAnsiTheme="minorHAnsi"/>
          <w:sz w:val="24"/>
        </w:rPr>
        <w:t xml:space="preserve"> w zwi</w:t>
      </w:r>
      <w:r>
        <w:rPr>
          <w:rFonts w:asciiTheme="minorHAnsi" w:hAnsiTheme="minorHAnsi"/>
          <w:sz w:val="24"/>
        </w:rPr>
        <w:t>ązku</w:t>
      </w:r>
      <w:r w:rsidR="00BE7466">
        <w:rPr>
          <w:rFonts w:asciiTheme="minorHAnsi" w:hAnsiTheme="minorHAnsi"/>
          <w:sz w:val="24"/>
        </w:rPr>
        <w:t xml:space="preserve"> z dal</w:t>
      </w:r>
      <w:r>
        <w:rPr>
          <w:rFonts w:asciiTheme="minorHAnsi" w:hAnsiTheme="minorHAnsi"/>
          <w:sz w:val="24"/>
        </w:rPr>
        <w:t>szymi aktualizacjami poprzednich zawiadomień dotyczących gotowości na brexit. Komisja będzie współpracować ze wszystkimi odpowiednimi stowarzyszeniami zainteresowanych stron, aby zwrócić ich uwagę na te informacje.</w:t>
      </w:r>
    </w:p>
    <w:p w:rsidR="005B5E63" w:rsidRDefault="00B858F1">
      <w:pPr>
        <w:jc w:val="both"/>
        <w:rPr>
          <w:rFonts w:asciiTheme="minorHAnsi" w:hAnsiTheme="minorHAnsi" w:cstheme="minorHAnsi"/>
          <w:sz w:val="24"/>
        </w:rPr>
      </w:pPr>
      <w:r>
        <w:rPr>
          <w:rFonts w:asciiTheme="minorHAnsi" w:hAnsiTheme="minorHAnsi"/>
          <w:sz w:val="24"/>
        </w:rPr>
        <w:t>Ponadto Komisja wzywa wszystkie organizacje konsumenckie, stowarzyszenia przedsiębiorców</w:t>
      </w:r>
      <w:r w:rsidR="00BE7466">
        <w:rPr>
          <w:rFonts w:asciiTheme="minorHAnsi" w:hAnsiTheme="minorHAnsi"/>
          <w:sz w:val="24"/>
        </w:rPr>
        <w:t xml:space="preserve"> i sto</w:t>
      </w:r>
      <w:r>
        <w:rPr>
          <w:rFonts w:asciiTheme="minorHAnsi" w:hAnsiTheme="minorHAnsi"/>
          <w:sz w:val="24"/>
        </w:rPr>
        <w:t>warzyszenia branżowe, zarówno krajowe, jak</w:t>
      </w:r>
      <w:r w:rsidR="00BE7466">
        <w:rPr>
          <w:rFonts w:asciiTheme="minorHAnsi" w:hAnsiTheme="minorHAnsi"/>
          <w:sz w:val="24"/>
        </w:rPr>
        <w:t xml:space="preserve"> i eur</w:t>
      </w:r>
      <w:r>
        <w:rPr>
          <w:rFonts w:asciiTheme="minorHAnsi" w:hAnsiTheme="minorHAnsi"/>
          <w:sz w:val="24"/>
        </w:rPr>
        <w:t>opejskie, aby upewniły się, że ich członkowie są</w:t>
      </w:r>
      <w:r w:rsidR="00BE7466">
        <w:rPr>
          <w:rFonts w:asciiTheme="minorHAnsi" w:hAnsiTheme="minorHAnsi"/>
          <w:sz w:val="24"/>
        </w:rPr>
        <w:t xml:space="preserve"> w peł</w:t>
      </w:r>
      <w:r>
        <w:rPr>
          <w:rFonts w:asciiTheme="minorHAnsi" w:hAnsiTheme="minorHAnsi"/>
          <w:sz w:val="24"/>
        </w:rPr>
        <w:t>ni świadomi zmian, jakie nastąpią niezależnie od przyszłych stosunków ze Zjednoczonym Królestwem.</w:t>
      </w:r>
    </w:p>
    <w:p w:rsidR="005B5E63" w:rsidRDefault="00B858F1">
      <w:pPr>
        <w:spacing w:after="0"/>
        <w:rPr>
          <w:rFonts w:asciiTheme="minorHAnsi" w:hAnsiTheme="minorHAnsi" w:cstheme="minorHAnsi"/>
          <w:sz w:val="24"/>
        </w:rPr>
      </w:pPr>
      <w:r>
        <w:br w:type="page"/>
      </w:r>
    </w:p>
    <w:p w:rsidR="005B5E63" w:rsidRDefault="00B858F1">
      <w:pPr>
        <w:spacing w:after="0"/>
        <w:rPr>
          <w:rFonts w:asciiTheme="minorHAnsi" w:hAnsiTheme="minorHAnsi" w:cstheme="minorHAnsi"/>
          <w:b/>
          <w:sz w:val="24"/>
          <w:u w:val="single"/>
        </w:rPr>
      </w:pPr>
      <w:r>
        <w:rPr>
          <w:rFonts w:asciiTheme="minorHAnsi" w:hAnsiTheme="minorHAnsi"/>
          <w:b/>
          <w:sz w:val="24"/>
          <w:u w:val="single"/>
        </w:rPr>
        <w:lastRenderedPageBreak/>
        <w:t>Załącznik 1: Wykaz zaktualizowanych zawiadomień dotyczących gotowości na zakończenie okresu przejściowego</w:t>
      </w:r>
    </w:p>
    <w:p w:rsidR="005B5E63" w:rsidRDefault="00B858F1">
      <w:pPr>
        <w:jc w:val="both"/>
        <w:rPr>
          <w:rFonts w:asciiTheme="minorHAnsi" w:hAnsiTheme="minorHAnsi" w:cstheme="minorHAnsi"/>
          <w:sz w:val="24"/>
        </w:rPr>
      </w:pPr>
      <w:r>
        <w:rPr>
          <w:rFonts w:asciiTheme="minorHAnsi" w:hAnsiTheme="minorHAnsi"/>
          <w:sz w:val="24"/>
        </w:rPr>
        <w:t>Od dnia 16 marca 20</w:t>
      </w:r>
      <w:r w:rsidRPr="00C43387">
        <w:rPr>
          <w:rFonts w:asciiTheme="minorHAnsi" w:hAnsiTheme="minorHAnsi"/>
          <w:sz w:val="24"/>
        </w:rPr>
        <w:t>20</w:t>
      </w:r>
      <w:r w:rsidR="00C43387" w:rsidRPr="00C43387">
        <w:rPr>
          <w:rFonts w:asciiTheme="minorHAnsi" w:hAnsiTheme="minorHAnsi"/>
          <w:sz w:val="24"/>
        </w:rPr>
        <w:t> </w:t>
      </w:r>
      <w:r w:rsidRPr="00C43387">
        <w:rPr>
          <w:rFonts w:asciiTheme="minorHAnsi" w:hAnsiTheme="minorHAnsi"/>
          <w:sz w:val="24"/>
        </w:rPr>
        <w:t>r.</w:t>
      </w:r>
      <w:r>
        <w:rPr>
          <w:rFonts w:asciiTheme="minorHAnsi" w:hAnsiTheme="minorHAnsi"/>
          <w:sz w:val="24"/>
        </w:rPr>
        <w:t xml:space="preserve"> opublikowano następujące 59 zawiadomień dotyczących gotowości na brexit</w:t>
      </w:r>
      <w:r w:rsidR="00BE7466">
        <w:rPr>
          <w:rFonts w:asciiTheme="minorHAnsi" w:hAnsiTheme="minorHAnsi"/>
          <w:sz w:val="24"/>
        </w:rPr>
        <w:t xml:space="preserve"> w cel</w:t>
      </w:r>
      <w:r>
        <w:rPr>
          <w:rFonts w:asciiTheme="minorHAnsi" w:hAnsiTheme="minorHAnsi"/>
          <w:sz w:val="24"/>
        </w:rPr>
        <w:t xml:space="preserve">u wsparcia przygotowań zainteresowanych stron na zakończenie okresu przejściowego. Są one dostępne pod następującym adresem: </w:t>
      </w:r>
      <w:hyperlink r:id="rId10" w:history="1">
        <w:r>
          <w:rPr>
            <w:rStyle w:val="Hipercze"/>
            <w:rFonts w:asciiTheme="minorHAnsi" w:hAnsiTheme="minorHAnsi"/>
            <w:sz w:val="24"/>
          </w:rPr>
          <w:t>https://ec.europa.eu/info/european-union-and-united-kingdom-forging-new-partnership/future-partnership/getting-ready-end-transition-period_pl</w:t>
        </w:r>
      </w:hyperlink>
      <w:r>
        <w:rPr>
          <w:rFonts w:asciiTheme="minorHAnsi" w:hAnsiTheme="minorHAnsi"/>
          <w:sz w:val="24"/>
        </w:rPr>
        <w:t xml:space="preserve"> </w:t>
      </w:r>
    </w:p>
    <w:p w:rsidR="005B5E63" w:rsidRDefault="00B858F1">
      <w:pPr>
        <w:jc w:val="both"/>
        <w:rPr>
          <w:rFonts w:asciiTheme="minorHAnsi" w:hAnsiTheme="minorHAnsi" w:cstheme="minorHAnsi"/>
          <w:sz w:val="24"/>
        </w:rPr>
      </w:pPr>
      <w:r>
        <w:rPr>
          <w:rFonts w:asciiTheme="minorHAnsi" w:hAnsiTheme="minorHAnsi"/>
          <w:sz w:val="24"/>
        </w:rPr>
        <w:t>Wykaz będzie nadal regularnie aktualizowany</w:t>
      </w:r>
      <w:r w:rsidR="00BE7466">
        <w:rPr>
          <w:rFonts w:asciiTheme="minorHAnsi" w:hAnsiTheme="minorHAnsi"/>
          <w:sz w:val="24"/>
        </w:rPr>
        <w:t xml:space="preserve"> w mia</w:t>
      </w:r>
      <w:r>
        <w:rPr>
          <w:rFonts w:asciiTheme="minorHAnsi" w:hAnsiTheme="minorHAnsi"/>
          <w:sz w:val="24"/>
        </w:rPr>
        <w:t>rę dostępności nowych zawiadomień.</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Transport lotniczy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Hodowla zwierząt</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Transport zwierząt</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Zarządzanie aktywami</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Audiowizualne usługi medialne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Ochrona lotnictwa</w:t>
      </w:r>
      <w:r w:rsidR="00BE7466">
        <w:rPr>
          <w:rFonts w:asciiTheme="minorHAnsi" w:hAnsiTheme="minorHAnsi"/>
          <w:sz w:val="24"/>
        </w:rPr>
        <w:t xml:space="preserve"> i bez</w:t>
      </w:r>
      <w:r>
        <w:rPr>
          <w:rFonts w:asciiTheme="minorHAnsi" w:hAnsiTheme="minorHAnsi"/>
          <w:sz w:val="24"/>
        </w:rPr>
        <w:t>pieczeństwo morskie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Bezpieczeństwo lotnicze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Usługi bankowe</w:t>
      </w:r>
      <w:r w:rsidR="00BE7466">
        <w:rPr>
          <w:rFonts w:asciiTheme="minorHAnsi" w:hAnsiTheme="minorHAnsi"/>
          <w:sz w:val="24"/>
        </w:rPr>
        <w:t xml:space="preserve"> i pła</w:t>
      </w:r>
      <w:r>
        <w:rPr>
          <w:rFonts w:asciiTheme="minorHAnsi" w:hAnsiTheme="minorHAnsi"/>
          <w:sz w:val="24"/>
        </w:rPr>
        <w:t>tnicze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Produkty biobójcze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Przepisy dotyczące chemikaliów zawarte</w:t>
      </w:r>
      <w:r w:rsidR="00BE7466">
        <w:rPr>
          <w:rFonts w:asciiTheme="minorHAnsi" w:hAnsiTheme="minorHAnsi"/>
          <w:sz w:val="24"/>
        </w:rPr>
        <w:t xml:space="preserve"> w roz</w:t>
      </w:r>
      <w:r>
        <w:rPr>
          <w:rFonts w:asciiTheme="minorHAnsi" w:hAnsiTheme="minorHAnsi"/>
          <w:sz w:val="24"/>
        </w:rPr>
        <w:t>porządzeniu REACH</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Badania kliniczne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Prawo spółek</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Ochrona konsumentów</w:t>
      </w:r>
      <w:r w:rsidR="00BE7466">
        <w:rPr>
          <w:rFonts w:asciiTheme="minorHAnsi" w:hAnsiTheme="minorHAnsi"/>
          <w:sz w:val="24"/>
        </w:rPr>
        <w:t xml:space="preserve"> i pra</w:t>
      </w:r>
      <w:r>
        <w:rPr>
          <w:rFonts w:asciiTheme="minorHAnsi" w:hAnsiTheme="minorHAnsi"/>
          <w:sz w:val="24"/>
        </w:rPr>
        <w:t>wa pasażerów</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Prawo autorskie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Produkty kosmetyczne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Agencje ratingowe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Ochrona danych</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Handel elektroniczny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Podpis elektroniczny (identyfikacja elektroniczna</w:t>
      </w:r>
      <w:r w:rsidR="00BE7466">
        <w:rPr>
          <w:rFonts w:asciiTheme="minorHAnsi" w:hAnsiTheme="minorHAnsi"/>
          <w:sz w:val="24"/>
        </w:rPr>
        <w:t xml:space="preserve"> i usł</w:t>
      </w:r>
      <w:r>
        <w:rPr>
          <w:rFonts w:asciiTheme="minorHAnsi" w:hAnsiTheme="minorHAnsi"/>
          <w:sz w:val="24"/>
        </w:rPr>
        <w:t>ugi zaufania</w:t>
      </w:r>
      <w:r w:rsidR="00BE7466">
        <w:rPr>
          <w:rFonts w:asciiTheme="minorHAnsi" w:hAnsiTheme="minorHAnsi"/>
          <w:sz w:val="24"/>
        </w:rPr>
        <w:t xml:space="preserve"> w odn</w:t>
      </w:r>
      <w:r>
        <w:rPr>
          <w:rFonts w:asciiTheme="minorHAnsi" w:hAnsiTheme="minorHAnsi"/>
          <w:sz w:val="24"/>
        </w:rPr>
        <w:t>iesieniu do transakcji elektronicznych)</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Łączność elektroniczna,</w:t>
      </w:r>
      <w:r w:rsidR="00BE7466">
        <w:rPr>
          <w:rFonts w:asciiTheme="minorHAnsi" w:hAnsiTheme="minorHAnsi"/>
          <w:sz w:val="24"/>
        </w:rPr>
        <w:t xml:space="preserve"> w tym</w:t>
      </w:r>
      <w:r>
        <w:rPr>
          <w:rFonts w:asciiTheme="minorHAnsi" w:hAnsiTheme="minorHAnsi"/>
          <w:sz w:val="24"/>
        </w:rPr>
        <w:t xml:space="preserve"> roaming</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System handlu emisjami</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Nazwy</w:t>
      </w:r>
      <w:r w:rsidR="00BE7466">
        <w:rPr>
          <w:rFonts w:asciiTheme="minorHAnsi" w:hAnsiTheme="minorHAnsi"/>
          <w:sz w:val="24"/>
        </w:rPr>
        <w:t xml:space="preserve"> w dom</w:t>
      </w:r>
      <w:r>
        <w:rPr>
          <w:rFonts w:asciiTheme="minorHAnsi" w:hAnsiTheme="minorHAnsi"/>
          <w:sz w:val="24"/>
        </w:rPr>
        <w:t>enie .eu</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Oznakowanie ekologiczne UE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Europejska rada zakładowa</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Podatek akcyzowy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Wyczerpanie praw własności intelektualnej</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Pasza dla zwierząt</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Prawo żywnościowe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Organizmy zmodyfikowane genetycznie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Blokowanie geograficzne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lastRenderedPageBreak/>
        <w:t>Oznaczenia geograficzne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Dobra praktyka laboratoryjna</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Produkty przemysłowe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„Inwazyjne gatunki obce”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Transport morski</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Produkty lecznicze (stosowane</w:t>
      </w:r>
      <w:r w:rsidR="00BE7466">
        <w:rPr>
          <w:rFonts w:asciiTheme="minorHAnsi" w:hAnsiTheme="minorHAnsi"/>
          <w:sz w:val="24"/>
        </w:rPr>
        <w:t xml:space="preserve"> u lud</w:t>
      </w:r>
      <w:r>
        <w:rPr>
          <w:rFonts w:asciiTheme="minorHAnsi" w:hAnsiTheme="minorHAnsi"/>
          <w:sz w:val="24"/>
        </w:rPr>
        <w:t>zi, weterynaryjne)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Przemieszczanie żywych zwierząt</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Naturalne wody mineralne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Zakup online</w:t>
      </w:r>
      <w:r w:rsidR="00BE7466">
        <w:rPr>
          <w:rFonts w:asciiTheme="minorHAnsi" w:hAnsiTheme="minorHAnsi"/>
          <w:sz w:val="24"/>
        </w:rPr>
        <w:t xml:space="preserve"> z póź</w:t>
      </w:r>
      <w:r>
        <w:rPr>
          <w:rFonts w:asciiTheme="minorHAnsi" w:hAnsiTheme="minorHAnsi"/>
          <w:sz w:val="24"/>
        </w:rPr>
        <w:t>niejszą dostawą paczki</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Produkty ekologiczne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Zdrowie roślin</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Środki ochrony roślin</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Materiał rozmnożeniowy roślin</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Prawa do ochrony odmian roślin</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Zakazy</w:t>
      </w:r>
      <w:r w:rsidR="00BE7466">
        <w:rPr>
          <w:rFonts w:asciiTheme="minorHAnsi" w:hAnsiTheme="minorHAnsi"/>
          <w:sz w:val="24"/>
        </w:rPr>
        <w:t xml:space="preserve"> i ogr</w:t>
      </w:r>
      <w:r>
        <w:rPr>
          <w:rFonts w:asciiTheme="minorHAnsi" w:hAnsiTheme="minorHAnsi"/>
          <w:sz w:val="24"/>
        </w:rPr>
        <w:t>aniczenia dotyczące przywozu/wywozu (w tym pozwolenia na przywóz/wywóz)</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Ochrona zwierząt podczas ich uśmiercania</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Wyroby pirotechniczne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Transport kolejowy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Rekreacyjne jednostki pływające</w:t>
      </w:r>
      <w:r w:rsidR="00BE7466">
        <w:rPr>
          <w:rFonts w:asciiTheme="minorHAnsi" w:hAnsiTheme="minorHAnsi"/>
          <w:sz w:val="24"/>
        </w:rPr>
        <w:t xml:space="preserve"> i sku</w:t>
      </w:r>
      <w:r>
        <w:rPr>
          <w:rFonts w:asciiTheme="minorHAnsi" w:hAnsiTheme="minorHAnsi"/>
          <w:sz w:val="24"/>
        </w:rPr>
        <w:t>tery wodne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Bezpieczeństwo sieci</w:t>
      </w:r>
      <w:r w:rsidR="00BE7466">
        <w:rPr>
          <w:rFonts w:asciiTheme="minorHAnsi" w:hAnsiTheme="minorHAnsi"/>
          <w:sz w:val="24"/>
        </w:rPr>
        <w:t xml:space="preserve"> i sys</w:t>
      </w:r>
      <w:r>
        <w:rPr>
          <w:rFonts w:asciiTheme="minorHAnsi" w:hAnsiTheme="minorHAnsi"/>
          <w:sz w:val="24"/>
        </w:rPr>
        <w:t>temów informacyjnych</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Recykling statków</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Substancje pochodzenia ludzkiego (krew, tkanki</w:t>
      </w:r>
      <w:r w:rsidR="00BE7466">
        <w:rPr>
          <w:rFonts w:asciiTheme="minorHAnsi" w:hAnsiTheme="minorHAnsi"/>
          <w:sz w:val="24"/>
        </w:rPr>
        <w:t xml:space="preserve"> i kom</w:t>
      </w:r>
      <w:r>
        <w:rPr>
          <w:rFonts w:asciiTheme="minorHAnsi" w:hAnsiTheme="minorHAnsi"/>
          <w:sz w:val="24"/>
        </w:rPr>
        <w:t>órki, organy)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Dodatkowe świadectwa ochronne dla produktów leczniczych</w:t>
      </w:r>
      <w:r w:rsidR="00BE7466">
        <w:rPr>
          <w:rFonts w:asciiTheme="minorHAnsi" w:hAnsiTheme="minorHAnsi"/>
          <w:sz w:val="24"/>
        </w:rPr>
        <w:t xml:space="preserve"> i śro</w:t>
      </w:r>
      <w:r>
        <w:rPr>
          <w:rFonts w:asciiTheme="minorHAnsi" w:hAnsiTheme="minorHAnsi"/>
          <w:sz w:val="24"/>
        </w:rPr>
        <w:t>dków ochrony roślin</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Wyroby tytoniowe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Znaki towarowe</w:t>
      </w:r>
      <w:r w:rsidR="00BE7466">
        <w:rPr>
          <w:rFonts w:asciiTheme="minorHAnsi" w:hAnsiTheme="minorHAnsi"/>
          <w:sz w:val="24"/>
        </w:rPr>
        <w:t xml:space="preserve"> i wzo</w:t>
      </w:r>
      <w:r>
        <w:rPr>
          <w:rFonts w:asciiTheme="minorHAnsi" w:hAnsiTheme="minorHAnsi"/>
          <w:sz w:val="24"/>
        </w:rPr>
        <w:t>ry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Ciśnieniowe urządzenia transportowe</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Podatek od wartości dodanej (VAT – towary)</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Podatek od wartości dodanej (VAT – usługi)</w:t>
      </w:r>
    </w:p>
    <w:p w:rsidR="005B5E63" w:rsidRDefault="00B858F1">
      <w:pPr>
        <w:pStyle w:val="Akapitzlist"/>
        <w:numPr>
          <w:ilvl w:val="0"/>
          <w:numId w:val="45"/>
        </w:numPr>
        <w:jc w:val="both"/>
        <w:rPr>
          <w:rFonts w:asciiTheme="minorHAnsi" w:hAnsiTheme="minorHAnsi" w:cstheme="minorHAnsi"/>
          <w:sz w:val="24"/>
        </w:rPr>
      </w:pPr>
      <w:r>
        <w:rPr>
          <w:rFonts w:asciiTheme="minorHAnsi" w:hAnsiTheme="minorHAnsi"/>
          <w:sz w:val="24"/>
        </w:rPr>
        <w:t>Przemieszczanie odpadów</w:t>
      </w:r>
    </w:p>
    <w:p w:rsidR="005B5E63" w:rsidRDefault="005B5E63">
      <w:pPr>
        <w:jc w:val="both"/>
        <w:rPr>
          <w:rFonts w:asciiTheme="minorHAnsi" w:hAnsiTheme="minorHAnsi" w:cstheme="minorHAnsi"/>
          <w:sz w:val="24"/>
        </w:rPr>
      </w:pPr>
    </w:p>
    <w:p w:rsidR="005B5E63" w:rsidRDefault="00B858F1">
      <w:pPr>
        <w:spacing w:after="0"/>
        <w:rPr>
          <w:rFonts w:asciiTheme="minorHAnsi" w:hAnsiTheme="minorHAnsi" w:cstheme="minorHAnsi"/>
          <w:sz w:val="24"/>
        </w:rPr>
      </w:pPr>
      <w:r>
        <w:br w:type="page"/>
      </w:r>
    </w:p>
    <w:p w:rsidR="005B5E63" w:rsidRDefault="005B5E63">
      <w:pPr>
        <w:spacing w:after="0"/>
        <w:rPr>
          <w:rFonts w:asciiTheme="minorHAnsi" w:hAnsiTheme="minorHAnsi" w:cstheme="minorHAnsi"/>
          <w:b/>
          <w:bCs/>
          <w:sz w:val="24"/>
          <w:szCs w:val="24"/>
        </w:rPr>
      </w:pPr>
    </w:p>
    <w:p w:rsidR="005B5E63" w:rsidRDefault="005B5E63">
      <w:pPr>
        <w:jc w:val="both"/>
        <w:rPr>
          <w:rFonts w:asciiTheme="minorHAnsi" w:hAnsiTheme="minorHAnsi" w:cstheme="minorHAnsi"/>
          <w:sz w:val="24"/>
          <w:szCs w:val="24"/>
        </w:rPr>
      </w:pPr>
    </w:p>
    <w:p w:rsidR="005B5E63" w:rsidRDefault="005B5E63">
      <w:pPr>
        <w:jc w:val="both"/>
        <w:rPr>
          <w:rFonts w:asciiTheme="minorHAnsi" w:hAnsiTheme="minorHAnsi" w:cstheme="minorHAnsi"/>
          <w:sz w:val="24"/>
          <w:szCs w:val="24"/>
        </w:rPr>
      </w:pPr>
    </w:p>
    <w:p w:rsidR="005B5E63" w:rsidRDefault="005B5E63">
      <w:pPr>
        <w:jc w:val="both"/>
        <w:rPr>
          <w:rFonts w:asciiTheme="minorHAnsi" w:hAnsiTheme="minorHAnsi" w:cstheme="minorHAnsi"/>
          <w:sz w:val="24"/>
          <w:szCs w:val="24"/>
        </w:rPr>
      </w:pPr>
    </w:p>
    <w:p w:rsidR="005B5E63" w:rsidRDefault="005B5E63">
      <w:pPr>
        <w:rPr>
          <w:rFonts w:asciiTheme="minorHAnsi" w:hAnsiTheme="minorHAnsi" w:cstheme="minorHAnsi"/>
          <w:sz w:val="24"/>
          <w:szCs w:val="24"/>
        </w:rPr>
      </w:pPr>
    </w:p>
    <w:p w:rsidR="005B5E63" w:rsidRDefault="005B5E63">
      <w:pPr>
        <w:rPr>
          <w:rFonts w:asciiTheme="minorHAnsi" w:hAnsiTheme="minorHAnsi" w:cstheme="minorHAnsi"/>
          <w:sz w:val="24"/>
          <w:szCs w:val="24"/>
        </w:rPr>
      </w:pPr>
    </w:p>
    <w:p w:rsidR="005B5E63" w:rsidRDefault="005B5E63">
      <w:pPr>
        <w:rPr>
          <w:rFonts w:asciiTheme="minorHAnsi" w:hAnsiTheme="minorHAnsi" w:cstheme="minorHAnsi"/>
          <w:sz w:val="24"/>
          <w:szCs w:val="24"/>
        </w:rPr>
      </w:pPr>
    </w:p>
    <w:p w:rsidR="005B5E63" w:rsidRPr="00542AF6" w:rsidRDefault="00B858F1">
      <w:pPr>
        <w:tabs>
          <w:tab w:val="left" w:pos="2085"/>
        </w:tabs>
        <w:rPr>
          <w:rFonts w:asciiTheme="minorHAnsi" w:hAnsiTheme="minorHAnsi" w:cstheme="minorHAnsi"/>
          <w:sz w:val="24"/>
          <w:szCs w:val="24"/>
        </w:rPr>
      </w:pPr>
      <w:r>
        <w:rPr>
          <w:rFonts w:asciiTheme="minorHAnsi" w:hAnsiTheme="minorHAnsi"/>
          <w:sz w:val="24"/>
          <w:szCs w:val="24"/>
        </w:rPr>
        <w:tab/>
      </w:r>
    </w:p>
    <w:sectPr w:rsidR="005B5E63" w:rsidRPr="00542AF6" w:rsidSect="000573D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E31" w:rsidRDefault="006A7E31">
      <w:pPr>
        <w:spacing w:after="0" w:line="240" w:lineRule="auto"/>
      </w:pPr>
      <w:r>
        <w:separator/>
      </w:r>
    </w:p>
    <w:p w:rsidR="006A7E31" w:rsidRDefault="006A7E31"/>
  </w:endnote>
  <w:endnote w:type="continuationSeparator" w:id="0">
    <w:p w:rsidR="006A7E31" w:rsidRDefault="006A7E31">
      <w:pPr>
        <w:spacing w:after="0" w:line="240" w:lineRule="auto"/>
      </w:pPr>
      <w:r>
        <w:continuationSeparator/>
      </w:r>
    </w:p>
    <w:p w:rsidR="006A7E31" w:rsidRDefault="006A7E31"/>
  </w:endnote>
</w:endnotes>
</file>

<file path=word/fontTable.xml><?xml version="1.0" encoding="utf-8"?>
<w:fonts xmlns:r="http://schemas.openxmlformats.org/officeDocument/2006/relationships" xmlns:w="http://schemas.openxmlformats.org/wordprocessingml/2006/main">
  <w:font w:name="EC Square Sans Pro">
    <w:altName w:val="Calibri"/>
    <w:charset w:val="00"/>
    <w:family w:val="swiss"/>
    <w:pitch w:val="variable"/>
    <w:sig w:usb0="A00002BF" w:usb1="5000E0FB"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F6" w:rsidRPr="00542AF6" w:rsidRDefault="00542AF6" w:rsidP="00542AF6">
    <w:pPr>
      <w:pStyle w:val="FooterCoverPage"/>
      <w:rPr>
        <w:rFonts w:ascii="Arial" w:hAnsi="Arial" w:cs="Arial"/>
        <w:b/>
        <w:sz w:val="48"/>
      </w:rPr>
    </w:pPr>
    <w:r w:rsidRPr="00542AF6">
      <w:rPr>
        <w:rFonts w:ascii="Arial" w:hAnsi="Arial" w:cs="Arial"/>
        <w:b/>
        <w:sz w:val="48"/>
      </w:rPr>
      <w:t>PL</w:t>
    </w:r>
    <w:r w:rsidRPr="00542AF6">
      <w:rPr>
        <w:rFonts w:ascii="Arial" w:hAnsi="Arial" w:cs="Arial"/>
        <w:b/>
        <w:sz w:val="48"/>
      </w:rPr>
      <w:tab/>
    </w:r>
    <w:r w:rsidRPr="00542AF6">
      <w:rPr>
        <w:rFonts w:ascii="Arial" w:hAnsi="Arial" w:cs="Arial"/>
        <w:b/>
        <w:sz w:val="48"/>
      </w:rPr>
      <w:tab/>
    </w:r>
    <w:r w:rsidRPr="00542AF6">
      <w:tab/>
    </w:r>
    <w:r w:rsidRPr="00542AF6">
      <w:rPr>
        <w:rFonts w:ascii="Arial" w:hAnsi="Arial" w:cs="Arial"/>
        <w:b/>
        <w:sz w:val="48"/>
      </w:rPr>
      <w:t>PL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63" w:rsidRDefault="005B5E6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03308"/>
      <w:docPartObj>
        <w:docPartGallery w:val="Page Numbers (Bottom of Page)"/>
        <w:docPartUnique/>
      </w:docPartObj>
    </w:sdtPr>
    <w:sdtEndPr>
      <w:rPr>
        <w:noProof/>
      </w:rPr>
    </w:sdtEndPr>
    <w:sdtContent>
      <w:p w:rsidR="005B5E63" w:rsidRDefault="00595895">
        <w:pPr>
          <w:pStyle w:val="Stopka"/>
          <w:jc w:val="center"/>
        </w:pPr>
        <w:r>
          <w:fldChar w:fldCharType="begin"/>
        </w:r>
        <w:r w:rsidR="00B858F1">
          <w:instrText xml:space="preserve"> PAGE   \* MERGEFORMAT </w:instrText>
        </w:r>
        <w:r>
          <w:fldChar w:fldCharType="separate"/>
        </w:r>
        <w:r w:rsidR="006F7CFB">
          <w:rPr>
            <w:noProof/>
          </w:rPr>
          <w:t>38</w:t>
        </w:r>
        <w: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63" w:rsidRDefault="005B5E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E31" w:rsidRDefault="006A7E31">
      <w:pPr>
        <w:spacing w:after="0" w:line="240" w:lineRule="auto"/>
      </w:pPr>
      <w:r>
        <w:separator/>
      </w:r>
    </w:p>
    <w:p w:rsidR="006A7E31" w:rsidRDefault="006A7E31"/>
  </w:footnote>
  <w:footnote w:type="continuationSeparator" w:id="0">
    <w:p w:rsidR="006A7E31" w:rsidRDefault="006A7E31">
      <w:pPr>
        <w:spacing w:after="0" w:line="240" w:lineRule="auto"/>
      </w:pPr>
      <w:r>
        <w:continuationSeparator/>
      </w:r>
    </w:p>
    <w:p w:rsidR="006A7E31" w:rsidRDefault="006A7E31"/>
  </w:footnote>
  <w:footnote w:id="1">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Umowa</w:t>
      </w:r>
      <w:r w:rsidR="00BE7466">
        <w:rPr>
          <w:rFonts w:asciiTheme="minorHAnsi" w:hAnsiTheme="minorHAnsi"/>
          <w:sz w:val="18"/>
          <w:szCs w:val="18"/>
        </w:rPr>
        <w:t xml:space="preserve"> o wys</w:t>
      </w:r>
      <w:r>
        <w:rPr>
          <w:rFonts w:asciiTheme="minorHAnsi" w:hAnsiTheme="minorHAnsi"/>
          <w:sz w:val="18"/>
          <w:szCs w:val="18"/>
        </w:rPr>
        <w:t>tąpieniu Zjednoczonego Królestwa Wielkiej Brytanii</w:t>
      </w:r>
      <w:r w:rsidR="00BE7466">
        <w:rPr>
          <w:rFonts w:asciiTheme="minorHAnsi" w:hAnsiTheme="minorHAnsi"/>
          <w:sz w:val="18"/>
          <w:szCs w:val="18"/>
        </w:rPr>
        <w:t xml:space="preserve"> i Irl</w:t>
      </w:r>
      <w:r>
        <w:rPr>
          <w:rFonts w:asciiTheme="minorHAnsi" w:hAnsiTheme="minorHAnsi"/>
          <w:sz w:val="18"/>
          <w:szCs w:val="18"/>
        </w:rPr>
        <w:t>andii Północnej</w:t>
      </w:r>
      <w:r w:rsidR="00BE7466">
        <w:rPr>
          <w:rFonts w:asciiTheme="minorHAnsi" w:hAnsiTheme="minorHAnsi"/>
          <w:sz w:val="18"/>
          <w:szCs w:val="18"/>
        </w:rPr>
        <w:t xml:space="preserve"> z Uni</w:t>
      </w:r>
      <w:r>
        <w:rPr>
          <w:rFonts w:asciiTheme="minorHAnsi" w:hAnsiTheme="minorHAnsi"/>
          <w:sz w:val="18"/>
          <w:szCs w:val="18"/>
        </w:rPr>
        <w:t>i Europejskiej</w:t>
      </w:r>
      <w:r w:rsidR="00BE7466">
        <w:rPr>
          <w:rFonts w:asciiTheme="minorHAnsi" w:hAnsiTheme="minorHAnsi"/>
          <w:sz w:val="18"/>
          <w:szCs w:val="18"/>
        </w:rPr>
        <w:t xml:space="preserve"> i Eur</w:t>
      </w:r>
      <w:r>
        <w:rPr>
          <w:rFonts w:asciiTheme="minorHAnsi" w:hAnsiTheme="minorHAnsi"/>
          <w:sz w:val="18"/>
          <w:szCs w:val="18"/>
        </w:rPr>
        <w:t>opejskiej Wspólnoty Energii Atomowej, Dz.U. L 29</w:t>
      </w:r>
      <w:r w:rsidR="00BE7466">
        <w:rPr>
          <w:rFonts w:asciiTheme="minorHAnsi" w:hAnsiTheme="minorHAnsi"/>
          <w:sz w:val="18"/>
          <w:szCs w:val="18"/>
        </w:rPr>
        <w:t xml:space="preserve"> z 3</w:t>
      </w:r>
      <w:r>
        <w:rPr>
          <w:rFonts w:asciiTheme="minorHAnsi" w:hAnsiTheme="minorHAnsi"/>
          <w:sz w:val="18"/>
          <w:szCs w:val="18"/>
        </w:rPr>
        <w:t>1.1.2020, s. 7 („umowa</w:t>
      </w:r>
      <w:r w:rsidR="00BE7466">
        <w:rPr>
          <w:rFonts w:asciiTheme="minorHAnsi" w:hAnsiTheme="minorHAnsi"/>
          <w:sz w:val="18"/>
          <w:szCs w:val="18"/>
        </w:rPr>
        <w:t xml:space="preserve"> o wys</w:t>
      </w:r>
      <w:r>
        <w:rPr>
          <w:rFonts w:asciiTheme="minorHAnsi" w:hAnsiTheme="minorHAnsi"/>
          <w:sz w:val="18"/>
          <w:szCs w:val="18"/>
        </w:rPr>
        <w:t>tąpieniu”).</w:t>
      </w:r>
    </w:p>
  </w:footnote>
  <w:footnote w:id="2">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Z zastrzeżeniem pewnych wyjątków przewidzianych</w:t>
      </w:r>
      <w:r w:rsidR="00BE7466">
        <w:rPr>
          <w:rFonts w:asciiTheme="minorHAnsi" w:hAnsiTheme="minorHAnsi"/>
          <w:sz w:val="18"/>
          <w:szCs w:val="18"/>
        </w:rPr>
        <w:t xml:space="preserve"> w </w:t>
      </w:r>
      <w:r w:rsidR="00BE7466" w:rsidRPr="00C43387">
        <w:rPr>
          <w:rFonts w:asciiTheme="minorHAnsi" w:hAnsiTheme="minorHAnsi"/>
          <w:sz w:val="18"/>
          <w:szCs w:val="18"/>
        </w:rPr>
        <w:t>art</w:t>
      </w:r>
      <w:r w:rsidRPr="00C43387">
        <w:rPr>
          <w:rFonts w:asciiTheme="minorHAnsi" w:hAnsiTheme="minorHAnsi"/>
          <w:sz w:val="18"/>
          <w:szCs w:val="18"/>
        </w:rPr>
        <w: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27 umowy</w:t>
      </w:r>
      <w:r w:rsidR="00BE7466">
        <w:rPr>
          <w:rFonts w:asciiTheme="minorHAnsi" w:hAnsiTheme="minorHAnsi"/>
          <w:sz w:val="18"/>
          <w:szCs w:val="18"/>
        </w:rPr>
        <w:t xml:space="preserve"> o wys</w:t>
      </w:r>
      <w:r>
        <w:rPr>
          <w:rFonts w:asciiTheme="minorHAnsi" w:hAnsiTheme="minorHAnsi"/>
          <w:sz w:val="18"/>
          <w:szCs w:val="18"/>
        </w:rPr>
        <w:t>tąpieniu,</w:t>
      </w:r>
      <w:r w:rsidR="00BE7466">
        <w:rPr>
          <w:rFonts w:asciiTheme="minorHAnsi" w:hAnsiTheme="minorHAnsi"/>
          <w:sz w:val="18"/>
          <w:szCs w:val="18"/>
        </w:rPr>
        <w:t xml:space="preserve"> z któ</w:t>
      </w:r>
      <w:r>
        <w:rPr>
          <w:rFonts w:asciiTheme="minorHAnsi" w:hAnsiTheme="minorHAnsi"/>
          <w:sz w:val="18"/>
          <w:szCs w:val="18"/>
        </w:rPr>
        <w:t>rych żaden nie jest istotny</w:t>
      </w:r>
      <w:r w:rsidR="00BE7466">
        <w:rPr>
          <w:rFonts w:asciiTheme="minorHAnsi" w:hAnsiTheme="minorHAnsi"/>
          <w:sz w:val="18"/>
          <w:szCs w:val="18"/>
        </w:rPr>
        <w:t xml:space="preserve"> w kon</w:t>
      </w:r>
      <w:r>
        <w:rPr>
          <w:rFonts w:asciiTheme="minorHAnsi" w:hAnsiTheme="minorHAnsi"/>
          <w:sz w:val="18"/>
          <w:szCs w:val="18"/>
        </w:rPr>
        <w:t>tekście niniejszego komunikatu.</w:t>
      </w:r>
    </w:p>
  </w:footnote>
  <w:footnote w:id="3">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Zgodnie</w:t>
      </w:r>
      <w:r w:rsidR="00BE7466">
        <w:rPr>
          <w:rFonts w:asciiTheme="minorHAnsi" w:hAnsiTheme="minorHAnsi"/>
          <w:sz w:val="18"/>
          <w:szCs w:val="18"/>
        </w:rPr>
        <w:t xml:space="preserve"> z </w:t>
      </w:r>
      <w:r w:rsidR="00BE7466" w:rsidRPr="00C43387">
        <w:rPr>
          <w:rFonts w:asciiTheme="minorHAnsi" w:hAnsiTheme="minorHAnsi"/>
          <w:sz w:val="18"/>
          <w:szCs w:val="18"/>
        </w:rPr>
        <w:t>art</w:t>
      </w:r>
      <w:r w:rsidRPr="00C43387">
        <w:rPr>
          <w:rFonts w:asciiTheme="minorHAnsi" w:hAnsiTheme="minorHAnsi"/>
          <w:sz w:val="18"/>
          <w:szCs w:val="18"/>
        </w:rPr>
        <w: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 xml:space="preserve">32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 xml:space="preserve"> umowy</w:t>
      </w:r>
      <w:r w:rsidR="00BE7466">
        <w:rPr>
          <w:rFonts w:asciiTheme="minorHAnsi" w:hAnsiTheme="minorHAnsi"/>
          <w:sz w:val="18"/>
          <w:szCs w:val="18"/>
        </w:rPr>
        <w:t xml:space="preserve"> o wys</w:t>
      </w:r>
      <w:r>
        <w:rPr>
          <w:rFonts w:asciiTheme="minorHAnsi" w:hAnsiTheme="minorHAnsi"/>
          <w:sz w:val="18"/>
          <w:szCs w:val="18"/>
        </w:rPr>
        <w:t>tąpieniu możliwe byłoby jednorazowe przedłużenie wspomnianego okresu przejściowego do roku lub dwóch lat</w:t>
      </w:r>
      <w:r w:rsidR="00BE7466">
        <w:rPr>
          <w:rFonts w:asciiTheme="minorHAnsi" w:hAnsiTheme="minorHAnsi"/>
          <w:sz w:val="18"/>
          <w:szCs w:val="18"/>
        </w:rPr>
        <w:t xml:space="preserve"> w dro</w:t>
      </w:r>
      <w:r>
        <w:rPr>
          <w:rFonts w:asciiTheme="minorHAnsi" w:hAnsiTheme="minorHAnsi"/>
          <w:sz w:val="18"/>
          <w:szCs w:val="18"/>
        </w:rPr>
        <w:t>dze wspólnej decyzji Unii Europejskiej</w:t>
      </w:r>
      <w:r w:rsidR="00BE7466">
        <w:rPr>
          <w:rFonts w:asciiTheme="minorHAnsi" w:hAnsiTheme="minorHAnsi"/>
          <w:sz w:val="18"/>
          <w:szCs w:val="18"/>
        </w:rPr>
        <w:t xml:space="preserve"> i Zje</w:t>
      </w:r>
      <w:r>
        <w:rPr>
          <w:rFonts w:asciiTheme="minorHAnsi" w:hAnsiTheme="minorHAnsi"/>
          <w:sz w:val="18"/>
          <w:szCs w:val="18"/>
        </w:rPr>
        <w:t>dnoczonego Królestwa podjętej przed dniem 1 lipca 20</w:t>
      </w:r>
      <w:r w:rsidRPr="00C43387">
        <w:rPr>
          <w:rFonts w:asciiTheme="minorHAnsi" w:hAnsiTheme="minorHAnsi"/>
          <w:sz w:val="18"/>
          <w:szCs w:val="18"/>
        </w:rPr>
        <w:t>20</w:t>
      </w:r>
      <w:r w:rsidR="00C43387" w:rsidRPr="00C43387">
        <w:rPr>
          <w:rFonts w:asciiTheme="minorHAnsi" w:hAnsiTheme="minorHAnsi"/>
          <w:sz w:val="18"/>
          <w:szCs w:val="18"/>
        </w:rPr>
        <w:t> </w:t>
      </w:r>
      <w:r w:rsidRPr="00C43387">
        <w:rPr>
          <w:rFonts w:asciiTheme="minorHAnsi" w:hAnsiTheme="minorHAnsi"/>
          <w:sz w:val="18"/>
          <w:szCs w:val="18"/>
        </w:rPr>
        <w:t>r.</w:t>
      </w:r>
      <w:r>
        <w:rPr>
          <w:rFonts w:asciiTheme="minorHAnsi" w:hAnsiTheme="minorHAnsi"/>
          <w:sz w:val="18"/>
          <w:szCs w:val="18"/>
        </w:rPr>
        <w:t xml:space="preserve"> Zjednoczone Królestwo odmówiło podjęcia takiej decyzji, co oznacza, że okres przejściowy automatycznie zakończy się dnia 31 grudnia 20</w:t>
      </w:r>
      <w:r w:rsidRPr="00C43387">
        <w:rPr>
          <w:rFonts w:asciiTheme="minorHAnsi" w:hAnsiTheme="minorHAnsi"/>
          <w:sz w:val="18"/>
          <w:szCs w:val="18"/>
        </w:rPr>
        <w:t>20</w:t>
      </w:r>
      <w:r w:rsidR="00C43387" w:rsidRPr="00C43387">
        <w:rPr>
          <w:rFonts w:asciiTheme="minorHAnsi" w:hAnsiTheme="minorHAnsi"/>
          <w:sz w:val="18"/>
          <w:szCs w:val="18"/>
        </w:rPr>
        <w:t> </w:t>
      </w:r>
      <w:r w:rsidRPr="00C43387">
        <w:rPr>
          <w:rFonts w:asciiTheme="minorHAnsi" w:hAnsiTheme="minorHAnsi"/>
          <w:sz w:val="18"/>
          <w:szCs w:val="18"/>
        </w:rPr>
        <w:t>r.</w:t>
      </w:r>
    </w:p>
  </w:footnote>
  <w:footnote w:id="4">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Poza programami</w:t>
      </w:r>
      <w:r w:rsidR="00BE7466">
        <w:rPr>
          <w:rFonts w:asciiTheme="minorHAnsi" w:hAnsiTheme="minorHAnsi"/>
          <w:sz w:val="18"/>
          <w:szCs w:val="18"/>
        </w:rPr>
        <w:t xml:space="preserve"> i pol</w:t>
      </w:r>
      <w:r>
        <w:rPr>
          <w:rFonts w:asciiTheme="minorHAnsi" w:hAnsiTheme="minorHAnsi"/>
          <w:sz w:val="18"/>
          <w:szCs w:val="18"/>
        </w:rPr>
        <w:t>itykami uwzględnionymi</w:t>
      </w:r>
      <w:r w:rsidR="00BE7466">
        <w:rPr>
          <w:rFonts w:asciiTheme="minorHAnsi" w:hAnsiTheme="minorHAnsi"/>
          <w:sz w:val="18"/>
          <w:szCs w:val="18"/>
        </w:rPr>
        <w:t xml:space="preserve"> w </w:t>
      </w:r>
      <w:r w:rsidR="00BE7466" w:rsidRPr="00C43387">
        <w:rPr>
          <w:rFonts w:asciiTheme="minorHAnsi" w:hAnsiTheme="minorHAnsi"/>
          <w:sz w:val="18"/>
          <w:szCs w:val="18"/>
        </w:rPr>
        <w:t>art</w:t>
      </w:r>
      <w:r w:rsidRPr="00C43387">
        <w:rPr>
          <w:rFonts w:asciiTheme="minorHAnsi" w:hAnsiTheme="minorHAnsi"/>
          <w:sz w:val="18"/>
          <w:szCs w:val="18"/>
        </w:rPr>
        <w: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38 umowy</w:t>
      </w:r>
      <w:r w:rsidR="00BE7466">
        <w:rPr>
          <w:rFonts w:asciiTheme="minorHAnsi" w:hAnsiTheme="minorHAnsi"/>
          <w:sz w:val="18"/>
          <w:szCs w:val="18"/>
        </w:rPr>
        <w:t xml:space="preserve"> o wys</w:t>
      </w:r>
      <w:r>
        <w:rPr>
          <w:rFonts w:asciiTheme="minorHAnsi" w:hAnsiTheme="minorHAnsi"/>
          <w:sz w:val="18"/>
          <w:szCs w:val="18"/>
        </w:rPr>
        <w:t>tąpieniu</w:t>
      </w:r>
      <w:r w:rsidR="00BE7466">
        <w:rPr>
          <w:rFonts w:asciiTheme="minorHAnsi" w:hAnsiTheme="minorHAnsi"/>
          <w:sz w:val="18"/>
          <w:szCs w:val="18"/>
        </w:rPr>
        <w:t xml:space="preserve"> i w dek</w:t>
      </w:r>
      <w:r>
        <w:rPr>
          <w:rFonts w:asciiTheme="minorHAnsi" w:hAnsiTheme="minorHAnsi"/>
          <w:sz w:val="18"/>
          <w:szCs w:val="18"/>
        </w:rPr>
        <w:t>laracji politycznej (Peace Plus).</w:t>
      </w:r>
    </w:p>
  </w:footnote>
  <w:footnote w:id="5">
    <w:p w:rsidR="005B5E63" w:rsidRDefault="00B858F1">
      <w:pPr>
        <w:pStyle w:val="Tekstprzypisudolnego"/>
        <w:spacing w:after="60"/>
        <w:jc w:val="both"/>
        <w:rPr>
          <w:rFonts w:asciiTheme="minorHAnsi" w:hAnsiTheme="minorHAnsi" w:cstheme="minorHAnsi"/>
          <w:b/>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Rząd Zjednoczonego Królestwa, „The Future Relationship with the Union: The UK’s Approach to Negotiations” [HM Government, „Przyszłe stosunki</w:t>
      </w:r>
      <w:r w:rsidR="00BE7466">
        <w:rPr>
          <w:rFonts w:asciiTheme="minorHAnsi" w:hAnsiTheme="minorHAnsi"/>
          <w:sz w:val="18"/>
          <w:szCs w:val="18"/>
        </w:rPr>
        <w:t xml:space="preserve"> z Uni</w:t>
      </w:r>
      <w:r>
        <w:rPr>
          <w:rFonts w:asciiTheme="minorHAnsi" w:hAnsiTheme="minorHAnsi"/>
          <w:sz w:val="18"/>
          <w:szCs w:val="18"/>
        </w:rPr>
        <w:t>ą. Podejście Zjednoczonego Królestwa do negocjacji”], 27 lutego 20</w:t>
      </w:r>
      <w:r w:rsidRPr="00C43387">
        <w:rPr>
          <w:rFonts w:asciiTheme="minorHAnsi" w:hAnsiTheme="minorHAnsi"/>
          <w:sz w:val="18"/>
          <w:szCs w:val="18"/>
        </w:rPr>
        <w:t>20</w:t>
      </w:r>
      <w:r w:rsidR="00C43387" w:rsidRPr="00C43387">
        <w:rPr>
          <w:rFonts w:asciiTheme="minorHAnsi" w:hAnsiTheme="minorHAnsi"/>
          <w:sz w:val="18"/>
          <w:szCs w:val="18"/>
        </w:rPr>
        <w:t> </w:t>
      </w:r>
      <w:r w:rsidRPr="00C43387">
        <w:rPr>
          <w:rFonts w:asciiTheme="minorHAnsi" w:hAnsiTheme="minorHAnsi"/>
          <w:sz w:val="18"/>
          <w:szCs w:val="18"/>
        </w:rPr>
        <w:t>r.</w:t>
      </w:r>
    </w:p>
  </w:footnote>
  <w:footnote w:id="6">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Projekt tekstu umowy</w:t>
      </w:r>
      <w:r w:rsidR="00BE7466">
        <w:rPr>
          <w:rFonts w:asciiTheme="minorHAnsi" w:hAnsiTheme="minorHAnsi"/>
          <w:sz w:val="18"/>
          <w:szCs w:val="18"/>
        </w:rPr>
        <w:t xml:space="preserve"> w spr</w:t>
      </w:r>
      <w:r>
        <w:rPr>
          <w:rFonts w:asciiTheme="minorHAnsi" w:hAnsiTheme="minorHAnsi"/>
          <w:sz w:val="18"/>
          <w:szCs w:val="18"/>
        </w:rPr>
        <w:t>awie nowego partnerstwa między Unią Europejską</w:t>
      </w:r>
      <w:r w:rsidR="00BE7466">
        <w:rPr>
          <w:rFonts w:asciiTheme="minorHAnsi" w:hAnsiTheme="minorHAnsi"/>
          <w:sz w:val="18"/>
          <w:szCs w:val="18"/>
        </w:rPr>
        <w:t xml:space="preserve"> a Zje</w:t>
      </w:r>
      <w:r>
        <w:rPr>
          <w:rFonts w:asciiTheme="minorHAnsi" w:hAnsiTheme="minorHAnsi"/>
          <w:sz w:val="18"/>
          <w:szCs w:val="18"/>
        </w:rPr>
        <w:t>dnoczonym Królestwem, opublikowany dnia 17 marca 20</w:t>
      </w:r>
      <w:r w:rsidRPr="00C43387">
        <w:rPr>
          <w:rFonts w:asciiTheme="minorHAnsi" w:hAnsiTheme="minorHAnsi"/>
          <w:sz w:val="18"/>
          <w:szCs w:val="18"/>
        </w:rPr>
        <w:t>20</w:t>
      </w:r>
      <w:r w:rsidR="00C43387" w:rsidRPr="00C43387">
        <w:rPr>
          <w:rFonts w:asciiTheme="minorHAnsi" w:hAnsiTheme="minorHAnsi"/>
          <w:sz w:val="18"/>
          <w:szCs w:val="18"/>
        </w:rPr>
        <w:t> </w:t>
      </w:r>
      <w:r w:rsidRPr="00C43387">
        <w:rPr>
          <w:rFonts w:asciiTheme="minorHAnsi" w:hAnsiTheme="minorHAnsi"/>
          <w:sz w:val="18"/>
          <w:szCs w:val="18"/>
        </w:rPr>
        <w:t>r.</w:t>
      </w:r>
      <w:r>
        <w:rPr>
          <w:rFonts w:asciiTheme="minorHAnsi" w:hAnsiTheme="minorHAnsi"/>
          <w:sz w:val="18"/>
          <w:szCs w:val="18"/>
        </w:rPr>
        <w:t xml:space="preserve">, zob.: </w:t>
      </w:r>
      <w:hyperlink r:id="rId1" w:history="1">
        <w:r>
          <w:rPr>
            <w:rStyle w:val="Hipercze"/>
            <w:rFonts w:asciiTheme="minorHAnsi" w:hAnsiTheme="minorHAnsi"/>
            <w:sz w:val="18"/>
            <w:szCs w:val="18"/>
          </w:rPr>
          <w:t>https://ec.europa.eu/info/publications/draft-text-agreement-new-partnership-united-kingdom_en</w:t>
        </w:r>
      </w:hyperlink>
    </w:p>
  </w:footnote>
  <w:footnote w:id="7">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Zmieniony tekst deklaracji politycznej określającej ramy przyszłych stosunków między Unią Europejską</w:t>
      </w:r>
      <w:r w:rsidR="00BE7466">
        <w:rPr>
          <w:rFonts w:asciiTheme="minorHAnsi" w:hAnsiTheme="minorHAnsi"/>
          <w:sz w:val="18"/>
          <w:szCs w:val="18"/>
        </w:rPr>
        <w:t xml:space="preserve"> a Zje</w:t>
      </w:r>
      <w:r>
        <w:rPr>
          <w:rFonts w:asciiTheme="minorHAnsi" w:hAnsiTheme="minorHAnsi"/>
          <w:sz w:val="18"/>
          <w:szCs w:val="18"/>
        </w:rPr>
        <w:t>dnoczonym Królestwem, uzgodniony przez negocjatorów</w:t>
      </w:r>
      <w:r w:rsidR="00BE7466">
        <w:rPr>
          <w:rFonts w:asciiTheme="minorHAnsi" w:hAnsiTheme="minorHAnsi"/>
          <w:sz w:val="18"/>
          <w:szCs w:val="18"/>
        </w:rPr>
        <w:t xml:space="preserve"> w dni</w:t>
      </w:r>
      <w:r>
        <w:rPr>
          <w:rFonts w:asciiTheme="minorHAnsi" w:hAnsiTheme="minorHAnsi"/>
          <w:sz w:val="18"/>
          <w:szCs w:val="18"/>
        </w:rPr>
        <w:t>u 17 października 20</w:t>
      </w:r>
      <w:r w:rsidRPr="00C43387">
        <w:rPr>
          <w:rFonts w:asciiTheme="minorHAnsi" w:hAnsiTheme="minorHAnsi"/>
          <w:sz w:val="18"/>
          <w:szCs w:val="18"/>
        </w:rPr>
        <w:t>19</w:t>
      </w:r>
      <w:r w:rsidR="00C43387" w:rsidRPr="00C43387">
        <w:rPr>
          <w:rFonts w:asciiTheme="minorHAnsi" w:hAnsiTheme="minorHAnsi"/>
          <w:sz w:val="18"/>
          <w:szCs w:val="18"/>
        </w:rPr>
        <w:t> </w:t>
      </w:r>
      <w:r w:rsidRPr="00C43387">
        <w:rPr>
          <w:rFonts w:asciiTheme="minorHAnsi" w:hAnsiTheme="minorHAnsi"/>
          <w:sz w:val="18"/>
          <w:szCs w:val="18"/>
        </w:rPr>
        <w:t>r.</w:t>
      </w:r>
      <w:r>
        <w:rPr>
          <w:rFonts w:asciiTheme="minorHAnsi" w:hAnsiTheme="minorHAnsi"/>
          <w:sz w:val="18"/>
          <w:szCs w:val="18"/>
        </w:rPr>
        <w:t>, Dz.U. C 34</w:t>
      </w:r>
      <w:r w:rsidR="00BE7466">
        <w:rPr>
          <w:rFonts w:asciiTheme="minorHAnsi" w:hAnsiTheme="minorHAnsi"/>
          <w:sz w:val="18"/>
          <w:szCs w:val="18"/>
        </w:rPr>
        <w:t xml:space="preserve"> z 3</w:t>
      </w:r>
      <w:r>
        <w:rPr>
          <w:rFonts w:asciiTheme="minorHAnsi" w:hAnsiTheme="minorHAnsi"/>
          <w:sz w:val="18"/>
          <w:szCs w:val="18"/>
        </w:rPr>
        <w:t>1.1.2020, s. 1.</w:t>
      </w:r>
    </w:p>
  </w:footnote>
  <w:footnote w:id="8">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W szczególności umowa</w:t>
      </w:r>
      <w:r w:rsidR="00BE7466">
        <w:rPr>
          <w:rFonts w:asciiTheme="minorHAnsi" w:hAnsiTheme="minorHAnsi"/>
          <w:sz w:val="18"/>
          <w:szCs w:val="18"/>
        </w:rPr>
        <w:t xml:space="preserve"> o wol</w:t>
      </w:r>
      <w:r>
        <w:rPr>
          <w:rFonts w:asciiTheme="minorHAnsi" w:hAnsiTheme="minorHAnsi"/>
          <w:sz w:val="18"/>
          <w:szCs w:val="18"/>
        </w:rPr>
        <w:t>nym handlu nie przewiduje takich koncepcji rynku wewnętrznego (w obszarze towarów</w:t>
      </w:r>
      <w:r w:rsidR="00BE7466">
        <w:rPr>
          <w:rFonts w:asciiTheme="minorHAnsi" w:hAnsiTheme="minorHAnsi"/>
          <w:sz w:val="18"/>
          <w:szCs w:val="18"/>
        </w:rPr>
        <w:t xml:space="preserve"> i usł</w:t>
      </w:r>
      <w:r>
        <w:rPr>
          <w:rFonts w:asciiTheme="minorHAnsi" w:hAnsiTheme="minorHAnsi"/>
          <w:sz w:val="18"/>
          <w:szCs w:val="18"/>
        </w:rPr>
        <w:t>ug) jak wzajemne uznawanie, „zasada kraju pochodzenia” oraz harmonizacja</w:t>
      </w:r>
      <w:r w:rsidR="00BE7466">
        <w:rPr>
          <w:rFonts w:asciiTheme="minorHAnsi" w:hAnsiTheme="minorHAnsi"/>
          <w:sz w:val="18"/>
          <w:szCs w:val="18"/>
        </w:rPr>
        <w:t>. W ram</w:t>
      </w:r>
      <w:r>
        <w:rPr>
          <w:rFonts w:asciiTheme="minorHAnsi" w:hAnsiTheme="minorHAnsi"/>
          <w:sz w:val="18"/>
          <w:szCs w:val="18"/>
        </w:rPr>
        <w:t>ach umowy</w:t>
      </w:r>
      <w:r w:rsidR="00BE7466">
        <w:rPr>
          <w:rFonts w:asciiTheme="minorHAnsi" w:hAnsiTheme="minorHAnsi"/>
          <w:sz w:val="18"/>
          <w:szCs w:val="18"/>
        </w:rPr>
        <w:t xml:space="preserve"> o wol</w:t>
      </w:r>
      <w:r>
        <w:rPr>
          <w:rFonts w:asciiTheme="minorHAnsi" w:hAnsiTheme="minorHAnsi"/>
          <w:sz w:val="18"/>
          <w:szCs w:val="18"/>
        </w:rPr>
        <w:t>nym handlu mają miejsce formalności</w:t>
      </w:r>
      <w:r w:rsidR="00BE7466">
        <w:rPr>
          <w:rFonts w:asciiTheme="minorHAnsi" w:hAnsiTheme="minorHAnsi"/>
          <w:sz w:val="18"/>
          <w:szCs w:val="18"/>
        </w:rPr>
        <w:t xml:space="preserve"> i kon</w:t>
      </w:r>
      <w:r>
        <w:rPr>
          <w:rFonts w:asciiTheme="minorHAnsi" w:hAnsiTheme="minorHAnsi"/>
          <w:sz w:val="18"/>
          <w:szCs w:val="18"/>
        </w:rPr>
        <w:t>trole celne,</w:t>
      </w:r>
      <w:r w:rsidR="00BE7466">
        <w:rPr>
          <w:rFonts w:asciiTheme="minorHAnsi" w:hAnsiTheme="minorHAnsi"/>
          <w:sz w:val="18"/>
          <w:szCs w:val="18"/>
        </w:rPr>
        <w:t xml:space="preserve"> w tym w odn</w:t>
      </w:r>
      <w:r>
        <w:rPr>
          <w:rFonts w:asciiTheme="minorHAnsi" w:hAnsiTheme="minorHAnsi"/>
          <w:sz w:val="18"/>
          <w:szCs w:val="18"/>
        </w:rPr>
        <w:t>iesieniu do pochodzenia towarów</w:t>
      </w:r>
      <w:r w:rsidR="00BE7466">
        <w:rPr>
          <w:rFonts w:asciiTheme="minorHAnsi" w:hAnsiTheme="minorHAnsi"/>
          <w:sz w:val="18"/>
          <w:szCs w:val="18"/>
        </w:rPr>
        <w:t xml:space="preserve"> i ich</w:t>
      </w:r>
      <w:r>
        <w:rPr>
          <w:rFonts w:asciiTheme="minorHAnsi" w:hAnsiTheme="minorHAnsi"/>
          <w:sz w:val="18"/>
          <w:szCs w:val="18"/>
        </w:rPr>
        <w:t xml:space="preserve"> składników,</w:t>
      </w:r>
      <w:r w:rsidR="00BE7466">
        <w:rPr>
          <w:rFonts w:asciiTheme="minorHAnsi" w:hAnsiTheme="minorHAnsi"/>
          <w:sz w:val="18"/>
          <w:szCs w:val="18"/>
        </w:rPr>
        <w:t xml:space="preserve"> a tak</w:t>
      </w:r>
      <w:r>
        <w:rPr>
          <w:rFonts w:asciiTheme="minorHAnsi" w:hAnsiTheme="minorHAnsi"/>
          <w:sz w:val="18"/>
          <w:szCs w:val="18"/>
        </w:rPr>
        <w:t>że zakazy</w:t>
      </w:r>
      <w:r w:rsidR="00BE7466">
        <w:rPr>
          <w:rFonts w:asciiTheme="minorHAnsi" w:hAnsiTheme="minorHAnsi"/>
          <w:sz w:val="18"/>
          <w:szCs w:val="18"/>
        </w:rPr>
        <w:t xml:space="preserve"> i ogr</w:t>
      </w:r>
      <w:r>
        <w:rPr>
          <w:rFonts w:asciiTheme="minorHAnsi" w:hAnsiTheme="minorHAnsi"/>
          <w:sz w:val="18"/>
          <w:szCs w:val="18"/>
        </w:rPr>
        <w:t>aniczenia</w:t>
      </w:r>
      <w:r w:rsidR="00BE7466">
        <w:rPr>
          <w:rFonts w:asciiTheme="minorHAnsi" w:hAnsiTheme="minorHAnsi"/>
          <w:sz w:val="18"/>
          <w:szCs w:val="18"/>
        </w:rPr>
        <w:t xml:space="preserve"> w odn</w:t>
      </w:r>
      <w:r>
        <w:rPr>
          <w:rFonts w:asciiTheme="minorHAnsi" w:hAnsiTheme="minorHAnsi"/>
          <w:sz w:val="18"/>
          <w:szCs w:val="18"/>
        </w:rPr>
        <w:t>iesieniu do przywozu</w:t>
      </w:r>
      <w:r w:rsidR="00BE7466">
        <w:rPr>
          <w:rFonts w:asciiTheme="minorHAnsi" w:hAnsiTheme="minorHAnsi"/>
          <w:sz w:val="18"/>
          <w:szCs w:val="18"/>
        </w:rPr>
        <w:t xml:space="preserve"> i wyw</w:t>
      </w:r>
      <w:r>
        <w:rPr>
          <w:rFonts w:asciiTheme="minorHAnsi" w:hAnsiTheme="minorHAnsi"/>
          <w:sz w:val="18"/>
          <w:szCs w:val="18"/>
        </w:rPr>
        <w:t>ozu.</w:t>
      </w:r>
    </w:p>
  </w:footnote>
  <w:footnote w:id="9">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Na podstawie umowy</w:t>
      </w:r>
      <w:r w:rsidR="00BE7466">
        <w:rPr>
          <w:rFonts w:asciiTheme="minorHAnsi" w:hAnsiTheme="minorHAnsi"/>
          <w:sz w:val="18"/>
          <w:szCs w:val="18"/>
        </w:rPr>
        <w:t xml:space="preserve"> o wys</w:t>
      </w:r>
      <w:r>
        <w:rPr>
          <w:rFonts w:asciiTheme="minorHAnsi" w:hAnsiTheme="minorHAnsi"/>
          <w:sz w:val="18"/>
          <w:szCs w:val="18"/>
        </w:rPr>
        <w:t>tąpieniu umożliwia się dalsze udostępnianie na rynku UE lub Zjednoczonego Królestwa towarów wprowadzonych do obrotu przed zakończeniem okresu przejściowego zanim dotrą do użytkownika końcowego, bez konieczności ich ponownej certyfikacji, ponownego etykietowania lub modyfikacji produktów.</w:t>
      </w:r>
    </w:p>
  </w:footnote>
  <w:footnote w:id="10">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Pod warunkiem udzielenia przez Zgromadzenie Ustawodawcze Irlandii Północnej zgody na dalsze stosowanie protokołu przez cztery lata po zakończeniu okresu przejściowego.</w:t>
      </w:r>
    </w:p>
  </w:footnote>
  <w:footnote w:id="11">
    <w:p w:rsidR="005B5E63" w:rsidRDefault="00B858F1">
      <w:pPr>
        <w:pStyle w:val="Tekstprzypisudolnego"/>
        <w:spacing w:after="60"/>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sz w:val="18"/>
          <w:szCs w:val="18"/>
        </w:rPr>
        <w:t xml:space="preserve"> Numery EORI to numery identyfikacyjne, które muszą stosować wszystkie przedsiębiorstwa</w:t>
      </w:r>
      <w:r w:rsidR="00BE7466">
        <w:rPr>
          <w:rFonts w:ascii="Calibri" w:hAnsi="Calibri"/>
          <w:sz w:val="18"/>
          <w:szCs w:val="18"/>
        </w:rPr>
        <w:t xml:space="preserve"> i oso</w:t>
      </w:r>
      <w:r>
        <w:rPr>
          <w:rFonts w:ascii="Calibri" w:hAnsi="Calibri"/>
          <w:sz w:val="18"/>
          <w:szCs w:val="18"/>
        </w:rPr>
        <w:t>by zamierzające prowadzić wymianę handlową poza UE</w:t>
      </w:r>
      <w:r w:rsidR="00BE7466">
        <w:rPr>
          <w:rFonts w:ascii="Calibri" w:hAnsi="Calibri"/>
          <w:sz w:val="18"/>
          <w:szCs w:val="18"/>
        </w:rPr>
        <w:t xml:space="preserve"> w cel</w:t>
      </w:r>
      <w:r>
        <w:rPr>
          <w:rFonts w:ascii="Calibri" w:hAnsi="Calibri"/>
          <w:sz w:val="18"/>
          <w:szCs w:val="18"/>
        </w:rPr>
        <w:t>u identyfikacji we wszystkich procedurach</w:t>
      </w:r>
      <w:r w:rsidR="00BE7466">
        <w:rPr>
          <w:rFonts w:ascii="Calibri" w:hAnsi="Calibri"/>
          <w:sz w:val="18"/>
          <w:szCs w:val="18"/>
        </w:rPr>
        <w:t xml:space="preserve"> i for</w:t>
      </w:r>
      <w:r>
        <w:rPr>
          <w:rFonts w:ascii="Calibri" w:hAnsi="Calibri"/>
          <w:sz w:val="18"/>
          <w:szCs w:val="18"/>
        </w:rPr>
        <w:t>malnościach celnych oraz ogólnie podczas wymiany informacji</w:t>
      </w:r>
      <w:r w:rsidR="00BE7466">
        <w:rPr>
          <w:rFonts w:ascii="Calibri" w:hAnsi="Calibri"/>
          <w:sz w:val="18"/>
          <w:szCs w:val="18"/>
        </w:rPr>
        <w:t xml:space="preserve"> z adm</w:t>
      </w:r>
      <w:r>
        <w:rPr>
          <w:rFonts w:ascii="Calibri" w:hAnsi="Calibri"/>
          <w:sz w:val="18"/>
          <w:szCs w:val="18"/>
        </w:rPr>
        <w:t>inistracją celną.</w:t>
      </w:r>
    </w:p>
  </w:footnote>
  <w:footnote w:id="12">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Już na etapie występowania Zjednoczonego Królestwa z UE Komisja oraz krajowe organy celne udostępniły znaczną liczbę szczegółowych ogłoszeń informacyjnych dotyczących sposobu funkcjonowania nowych granic celnych między Unią</w:t>
      </w:r>
      <w:r w:rsidR="00BE7466">
        <w:rPr>
          <w:rFonts w:asciiTheme="minorHAnsi" w:hAnsiTheme="minorHAnsi"/>
          <w:sz w:val="18"/>
          <w:szCs w:val="18"/>
        </w:rPr>
        <w:t xml:space="preserve"> a Zje</w:t>
      </w:r>
      <w:r>
        <w:rPr>
          <w:rFonts w:asciiTheme="minorHAnsi" w:hAnsiTheme="minorHAnsi"/>
          <w:sz w:val="18"/>
          <w:szCs w:val="18"/>
        </w:rPr>
        <w:t>dnoczonym Królestwem.</w:t>
      </w:r>
    </w:p>
  </w:footnote>
  <w:footnote w:id="13">
    <w:p w:rsidR="005B5E63" w:rsidRDefault="00B858F1">
      <w:pPr>
        <w:pStyle w:val="Tekstprzypisudolnego"/>
      </w:pPr>
      <w:r>
        <w:rPr>
          <w:rStyle w:val="Odwoanieprzypisudolnego"/>
        </w:rPr>
        <w:footnoteRef/>
      </w:r>
      <w:r>
        <w:t xml:space="preserve"> Deklaracje dostawcy,</w:t>
      </w:r>
      <w:r w:rsidR="00BE7466">
        <w:t xml:space="preserve"> w</w:t>
      </w:r>
      <w:r w:rsidR="00BE7466">
        <w:rPr>
          <w:rFonts w:ascii="Calibri" w:hAnsi="Calibri" w:cs="Calibri"/>
        </w:rPr>
        <w:t> </w:t>
      </w:r>
      <w:r w:rsidR="00BE7466">
        <w:t>tym</w:t>
      </w:r>
      <w:r>
        <w:t xml:space="preserve"> długoterminowe deklaracje dostawcy, będą musiały zostać odpowiednio dostosowane.</w:t>
      </w:r>
    </w:p>
  </w:footnote>
  <w:footnote w:id="14">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Na przykład</w:t>
      </w:r>
      <w:r w:rsidR="00BE7466">
        <w:rPr>
          <w:rFonts w:asciiTheme="minorHAnsi" w:hAnsiTheme="minorHAnsi"/>
          <w:sz w:val="18"/>
          <w:szCs w:val="18"/>
        </w:rPr>
        <w:t xml:space="preserve"> w prz</w:t>
      </w:r>
      <w:r>
        <w:rPr>
          <w:rFonts w:asciiTheme="minorHAnsi" w:hAnsiTheme="minorHAnsi"/>
          <w:sz w:val="18"/>
          <w:szCs w:val="18"/>
        </w:rPr>
        <w:t>ypadku europejskiej bazy danych</w:t>
      </w:r>
      <w:r w:rsidR="00BE7466">
        <w:rPr>
          <w:rFonts w:asciiTheme="minorHAnsi" w:hAnsiTheme="minorHAnsi"/>
          <w:sz w:val="18"/>
          <w:szCs w:val="18"/>
        </w:rPr>
        <w:t xml:space="preserve"> o pro</w:t>
      </w:r>
      <w:r>
        <w:rPr>
          <w:rFonts w:asciiTheme="minorHAnsi" w:hAnsiTheme="minorHAnsi"/>
          <w:sz w:val="18"/>
          <w:szCs w:val="18"/>
        </w:rPr>
        <w:t>duktach do celów etykietowania energetycznego (EPREL).</w:t>
      </w:r>
    </w:p>
  </w:footnote>
  <w:footnote w:id="15">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Przykładowo: odpady, broń palna, „produkty podwójnego zastosowania”, okazy gatunków zagrożonych oraz niektóre niebezpieczne chemikalia.</w:t>
      </w:r>
    </w:p>
  </w:footnote>
  <w:footnote w:id="16">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Rozporządzenie (WE)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907/2006 Parlamentu Europejskiego</w:t>
      </w:r>
      <w:r w:rsidR="00BE7466">
        <w:rPr>
          <w:rFonts w:asciiTheme="minorHAnsi" w:hAnsiTheme="minorHAnsi"/>
          <w:sz w:val="18"/>
          <w:szCs w:val="18"/>
        </w:rPr>
        <w:t xml:space="preserve"> i Rad</w:t>
      </w:r>
      <w:r>
        <w:rPr>
          <w:rFonts w:asciiTheme="minorHAnsi" w:hAnsiTheme="minorHAnsi"/>
          <w:sz w:val="18"/>
          <w:szCs w:val="18"/>
        </w:rPr>
        <w:t>y</w:t>
      </w:r>
      <w:r w:rsidR="00BE7466">
        <w:rPr>
          <w:rFonts w:asciiTheme="minorHAnsi" w:hAnsiTheme="minorHAnsi"/>
          <w:sz w:val="18"/>
          <w:szCs w:val="18"/>
        </w:rPr>
        <w:t xml:space="preserve"> z dni</w:t>
      </w:r>
      <w:r>
        <w:rPr>
          <w:rFonts w:asciiTheme="minorHAnsi" w:hAnsiTheme="minorHAnsi"/>
          <w:sz w:val="18"/>
          <w:szCs w:val="18"/>
        </w:rPr>
        <w:t>a 18 grudnia 20</w:t>
      </w:r>
      <w:r w:rsidRPr="00C43387">
        <w:rPr>
          <w:rFonts w:asciiTheme="minorHAnsi" w:hAnsiTheme="minorHAnsi"/>
          <w:sz w:val="18"/>
          <w:szCs w:val="18"/>
        </w:rPr>
        <w:t>06</w:t>
      </w:r>
      <w:r w:rsidR="00C43387" w:rsidRPr="00C43387">
        <w:rPr>
          <w:rFonts w:asciiTheme="minorHAnsi" w:hAnsiTheme="minorHAnsi"/>
          <w:sz w:val="18"/>
          <w:szCs w:val="18"/>
        </w:rPr>
        <w:t> </w:t>
      </w:r>
      <w:r w:rsidRPr="00C43387">
        <w:rPr>
          <w:rFonts w:asciiTheme="minorHAnsi" w:hAnsiTheme="minorHAnsi"/>
          <w:sz w:val="18"/>
          <w:szCs w:val="18"/>
        </w:rPr>
        <w:t>r.</w:t>
      </w:r>
      <w:r w:rsidR="00BE7466">
        <w:rPr>
          <w:rFonts w:asciiTheme="minorHAnsi" w:hAnsiTheme="minorHAnsi"/>
          <w:sz w:val="18"/>
          <w:szCs w:val="18"/>
        </w:rPr>
        <w:t xml:space="preserve"> w spr</w:t>
      </w:r>
      <w:r>
        <w:rPr>
          <w:rFonts w:asciiTheme="minorHAnsi" w:hAnsiTheme="minorHAnsi"/>
          <w:sz w:val="18"/>
          <w:szCs w:val="18"/>
        </w:rPr>
        <w:t>awie rejestracji, oceny, udzielania zezwoleń</w:t>
      </w:r>
      <w:r w:rsidR="00BE7466">
        <w:rPr>
          <w:rFonts w:asciiTheme="minorHAnsi" w:hAnsiTheme="minorHAnsi"/>
          <w:sz w:val="18"/>
          <w:szCs w:val="18"/>
        </w:rPr>
        <w:t xml:space="preserve"> i sto</w:t>
      </w:r>
      <w:r>
        <w:rPr>
          <w:rFonts w:asciiTheme="minorHAnsi" w:hAnsiTheme="minorHAnsi"/>
          <w:sz w:val="18"/>
          <w:szCs w:val="18"/>
        </w:rPr>
        <w:t>sowanych ograniczeń</w:t>
      </w:r>
      <w:r w:rsidR="00BE7466">
        <w:rPr>
          <w:rFonts w:asciiTheme="minorHAnsi" w:hAnsiTheme="minorHAnsi"/>
          <w:sz w:val="18"/>
          <w:szCs w:val="18"/>
        </w:rPr>
        <w:t xml:space="preserve"> w zak</w:t>
      </w:r>
      <w:r>
        <w:rPr>
          <w:rFonts w:asciiTheme="minorHAnsi" w:hAnsiTheme="minorHAnsi"/>
          <w:sz w:val="18"/>
          <w:szCs w:val="18"/>
        </w:rPr>
        <w:t>resie chemikaliów (REACH)</w:t>
      </w:r>
      <w:r w:rsidR="00BE7466">
        <w:rPr>
          <w:rFonts w:asciiTheme="minorHAnsi" w:hAnsiTheme="minorHAnsi"/>
          <w:sz w:val="18"/>
          <w:szCs w:val="18"/>
        </w:rPr>
        <w:t xml:space="preserve"> i utw</w:t>
      </w:r>
      <w:r>
        <w:rPr>
          <w:rFonts w:asciiTheme="minorHAnsi" w:hAnsiTheme="minorHAnsi"/>
          <w:sz w:val="18"/>
          <w:szCs w:val="18"/>
        </w:rPr>
        <w:t>orzenia Europejskiej Agencji Chemikaliów, Dz.U. L 396</w:t>
      </w:r>
      <w:r w:rsidR="00BE7466">
        <w:rPr>
          <w:rFonts w:asciiTheme="minorHAnsi" w:hAnsiTheme="minorHAnsi"/>
          <w:sz w:val="18"/>
          <w:szCs w:val="18"/>
        </w:rPr>
        <w:t xml:space="preserve"> z 3</w:t>
      </w:r>
      <w:r>
        <w:rPr>
          <w:rFonts w:asciiTheme="minorHAnsi" w:hAnsiTheme="minorHAnsi"/>
          <w:sz w:val="18"/>
          <w:szCs w:val="18"/>
        </w:rPr>
        <w:t>0.12.2006, s. 1.</w:t>
      </w:r>
    </w:p>
  </w:footnote>
  <w:footnote w:id="17">
    <w:p w:rsidR="005B5E63" w:rsidRDefault="00B858F1">
      <w:pPr>
        <w:pStyle w:val="Tekstprzypisudolnego"/>
      </w:pPr>
      <w:r>
        <w:rPr>
          <w:rStyle w:val="Odwoanieprzypisudolnego"/>
        </w:rPr>
        <w:footnoteRef/>
      </w:r>
      <w:r>
        <w:t xml:space="preserve"> </w:t>
      </w:r>
      <w:r>
        <w:rPr>
          <w:rFonts w:asciiTheme="minorHAnsi" w:hAnsiTheme="minorHAnsi"/>
          <w:sz w:val="18"/>
          <w:szCs w:val="18"/>
        </w:rPr>
        <w:t>W tym,</w:t>
      </w:r>
      <w:r w:rsidR="00BE7466">
        <w:rPr>
          <w:rFonts w:asciiTheme="minorHAnsi" w:hAnsiTheme="minorHAnsi"/>
          <w:sz w:val="18"/>
          <w:szCs w:val="18"/>
        </w:rPr>
        <w:t xml:space="preserve"> w sto</w:t>
      </w:r>
      <w:r>
        <w:rPr>
          <w:rFonts w:asciiTheme="minorHAnsi" w:hAnsiTheme="minorHAnsi"/>
          <w:sz w:val="18"/>
          <w:szCs w:val="18"/>
        </w:rPr>
        <w:t>sownych przypadkach,</w:t>
      </w:r>
      <w:r w:rsidR="00BE7466">
        <w:rPr>
          <w:rFonts w:asciiTheme="minorHAnsi" w:hAnsiTheme="minorHAnsi"/>
          <w:sz w:val="18"/>
          <w:szCs w:val="18"/>
        </w:rPr>
        <w:t xml:space="preserve"> z wym</w:t>
      </w:r>
      <w:r>
        <w:rPr>
          <w:rFonts w:asciiTheme="minorHAnsi" w:hAnsiTheme="minorHAnsi"/>
          <w:sz w:val="18"/>
          <w:szCs w:val="18"/>
        </w:rPr>
        <w:t>ogami dotyczącymi imigracji oraz obowiązkami wizowymi.</w:t>
      </w:r>
    </w:p>
  </w:footnote>
  <w:footnote w:id="18">
    <w:p w:rsidR="005B5E63" w:rsidRDefault="00B858F1">
      <w:pPr>
        <w:pStyle w:val="Tekstprzypisudolnego"/>
        <w:rPr>
          <w:rFonts w:asciiTheme="minorHAnsi" w:hAnsiTheme="minorHAnsi" w:cstheme="minorHAnsi"/>
          <w:sz w:val="18"/>
          <w:szCs w:val="18"/>
        </w:rPr>
      </w:pPr>
      <w:r>
        <w:rPr>
          <w:rStyle w:val="Odwoanieprzypisudolnego"/>
        </w:rPr>
        <w:footnoteRef/>
      </w:r>
      <w:r>
        <w:t xml:space="preserve"> </w:t>
      </w:r>
      <w:r>
        <w:rPr>
          <w:rFonts w:asciiTheme="minorHAnsi" w:hAnsiTheme="minorHAnsi"/>
          <w:sz w:val="18"/>
          <w:szCs w:val="18"/>
        </w:rPr>
        <w:t>Zob. część IV pt. „Usługi finansowe” zmienionego tekstu deklaracji politycznej określającej ramy przyszłych stosunków między Unią Europejską</w:t>
      </w:r>
      <w:r w:rsidR="00BE7466">
        <w:rPr>
          <w:rFonts w:asciiTheme="minorHAnsi" w:hAnsiTheme="minorHAnsi"/>
          <w:sz w:val="18"/>
          <w:szCs w:val="18"/>
        </w:rPr>
        <w:t xml:space="preserve"> a Zje</w:t>
      </w:r>
      <w:r>
        <w:rPr>
          <w:rFonts w:asciiTheme="minorHAnsi" w:hAnsiTheme="minorHAnsi"/>
          <w:sz w:val="18"/>
          <w:szCs w:val="18"/>
        </w:rPr>
        <w:t>dnoczonym Królestwem uzgodnionego przez negocjatorów</w:t>
      </w:r>
      <w:r w:rsidR="00BE7466">
        <w:rPr>
          <w:rFonts w:asciiTheme="minorHAnsi" w:hAnsiTheme="minorHAnsi"/>
          <w:sz w:val="18"/>
          <w:szCs w:val="18"/>
        </w:rPr>
        <w:t xml:space="preserve"> w dni</w:t>
      </w:r>
      <w:r>
        <w:rPr>
          <w:rFonts w:asciiTheme="minorHAnsi" w:hAnsiTheme="minorHAnsi"/>
          <w:sz w:val="18"/>
          <w:szCs w:val="18"/>
        </w:rPr>
        <w:t>u 17 października 20</w:t>
      </w:r>
      <w:r w:rsidRPr="00C43387">
        <w:rPr>
          <w:rFonts w:asciiTheme="minorHAnsi" w:hAnsiTheme="minorHAnsi"/>
          <w:sz w:val="18"/>
          <w:szCs w:val="18"/>
        </w:rPr>
        <w:t>19</w:t>
      </w:r>
      <w:r w:rsidR="00C43387" w:rsidRPr="00C43387">
        <w:rPr>
          <w:rFonts w:asciiTheme="minorHAnsi" w:hAnsiTheme="minorHAnsi"/>
          <w:sz w:val="18"/>
          <w:szCs w:val="18"/>
        </w:rPr>
        <w:t> </w:t>
      </w:r>
      <w:r w:rsidRPr="00C43387">
        <w:rPr>
          <w:rFonts w:asciiTheme="minorHAnsi" w:hAnsiTheme="minorHAnsi"/>
          <w:sz w:val="18"/>
          <w:szCs w:val="18"/>
        </w:rPr>
        <w:t>r.</w:t>
      </w:r>
      <w:r>
        <w:rPr>
          <w:rFonts w:asciiTheme="minorHAnsi" w:hAnsiTheme="minorHAnsi"/>
          <w:sz w:val="18"/>
          <w:szCs w:val="18"/>
        </w:rPr>
        <w:t>, Dz.U. C 34</w:t>
      </w:r>
      <w:r w:rsidR="00BE7466">
        <w:rPr>
          <w:rFonts w:asciiTheme="minorHAnsi" w:hAnsiTheme="minorHAnsi"/>
          <w:sz w:val="18"/>
          <w:szCs w:val="18"/>
        </w:rPr>
        <w:t xml:space="preserve"> z 3</w:t>
      </w:r>
      <w:r>
        <w:rPr>
          <w:rFonts w:asciiTheme="minorHAnsi" w:hAnsiTheme="minorHAnsi"/>
          <w:sz w:val="18"/>
          <w:szCs w:val="18"/>
        </w:rPr>
        <w:t>1.1.2020, s. 1.</w:t>
      </w:r>
    </w:p>
  </w:footnote>
  <w:footnote w:id="19">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COM (2019) 349 final.Komunikat Komisji, Równoważność</w:t>
      </w:r>
      <w:r w:rsidR="00BE7466">
        <w:rPr>
          <w:rFonts w:asciiTheme="minorHAnsi" w:hAnsiTheme="minorHAnsi"/>
          <w:sz w:val="18"/>
          <w:szCs w:val="18"/>
        </w:rPr>
        <w:t xml:space="preserve"> w dzi</w:t>
      </w:r>
      <w:r>
        <w:rPr>
          <w:rFonts w:asciiTheme="minorHAnsi" w:hAnsiTheme="minorHAnsi"/>
          <w:sz w:val="18"/>
          <w:szCs w:val="18"/>
        </w:rPr>
        <w:t>edzinie usług finansowych</w:t>
      </w:r>
      <w:r>
        <w:t>.</w:t>
      </w:r>
    </w:p>
  </w:footnote>
  <w:footnote w:id="20">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Dziedziny,</w:t>
      </w:r>
      <w:r w:rsidR="00BE7466">
        <w:rPr>
          <w:rFonts w:asciiTheme="minorHAnsi" w:hAnsiTheme="minorHAnsi"/>
          <w:sz w:val="18"/>
          <w:szCs w:val="18"/>
        </w:rPr>
        <w:t xml:space="preserve"> w odn</w:t>
      </w:r>
      <w:r>
        <w:rPr>
          <w:rFonts w:asciiTheme="minorHAnsi" w:hAnsiTheme="minorHAnsi"/>
          <w:sz w:val="18"/>
          <w:szCs w:val="18"/>
        </w:rPr>
        <w:t xml:space="preserve">iesieniu do których podjęto już decyzję: </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xml:space="preserve">– rozporządzenie (UE)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48/2012</w:t>
      </w:r>
      <w:r w:rsidR="00BE7466">
        <w:rPr>
          <w:rFonts w:asciiTheme="minorHAnsi" w:hAnsiTheme="minorHAnsi"/>
          <w:sz w:val="18"/>
          <w:szCs w:val="18"/>
        </w:rPr>
        <w:t xml:space="preserve"> w spr</w:t>
      </w:r>
      <w:r>
        <w:rPr>
          <w:rFonts w:asciiTheme="minorHAnsi" w:hAnsiTheme="minorHAnsi"/>
          <w:sz w:val="18"/>
          <w:szCs w:val="18"/>
        </w:rPr>
        <w:t>awie instrumentów pochodnych będących przedmiotem obrotu poza rynkiem regulowanym, kontrahentów centralnych</w:t>
      </w:r>
      <w:r w:rsidR="00BE7466">
        <w:rPr>
          <w:rFonts w:asciiTheme="minorHAnsi" w:hAnsiTheme="minorHAnsi"/>
          <w:sz w:val="18"/>
          <w:szCs w:val="18"/>
        </w:rPr>
        <w:t xml:space="preserve"> i rep</w:t>
      </w:r>
      <w:r>
        <w:rPr>
          <w:rFonts w:asciiTheme="minorHAnsi" w:hAnsiTheme="minorHAnsi"/>
          <w:sz w:val="18"/>
          <w:szCs w:val="18"/>
        </w:rPr>
        <w:t xml:space="preserve">ozytoriów transakcji (EMIR), ze zm.;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 xml:space="preserve">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 xml:space="preserve"> – wyłączenie banków centralnych</w:t>
      </w:r>
      <w:r w:rsidR="00BE7466">
        <w:rPr>
          <w:rFonts w:asciiTheme="minorHAnsi" w:hAnsiTheme="minorHAnsi"/>
          <w:sz w:val="18"/>
          <w:szCs w:val="18"/>
        </w:rPr>
        <w:t xml:space="preserve"> i org</w:t>
      </w:r>
      <w:r>
        <w:rPr>
          <w:rFonts w:asciiTheme="minorHAnsi" w:hAnsiTheme="minorHAnsi"/>
          <w:sz w:val="18"/>
          <w:szCs w:val="18"/>
        </w:rPr>
        <w:t xml:space="preserve">anów publicznych </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rozporządzenie (UE) 2015/2365</w:t>
      </w:r>
      <w:r w:rsidR="00BE7466">
        <w:rPr>
          <w:rFonts w:asciiTheme="minorHAnsi" w:hAnsiTheme="minorHAnsi"/>
          <w:sz w:val="18"/>
          <w:szCs w:val="18"/>
        </w:rPr>
        <w:t xml:space="preserve"> w spr</w:t>
      </w:r>
      <w:r>
        <w:rPr>
          <w:rFonts w:asciiTheme="minorHAnsi" w:hAnsiTheme="minorHAnsi"/>
          <w:sz w:val="18"/>
          <w:szCs w:val="18"/>
        </w:rPr>
        <w:t>awie przejrzystości transakcji finansowanych</w:t>
      </w:r>
      <w:r w:rsidR="00BE7466">
        <w:rPr>
          <w:rFonts w:asciiTheme="minorHAnsi" w:hAnsiTheme="minorHAnsi"/>
          <w:sz w:val="18"/>
          <w:szCs w:val="18"/>
        </w:rPr>
        <w:t xml:space="preserve"> z uży</w:t>
      </w:r>
      <w:r>
        <w:rPr>
          <w:rFonts w:asciiTheme="minorHAnsi" w:hAnsiTheme="minorHAnsi"/>
          <w:sz w:val="18"/>
          <w:szCs w:val="18"/>
        </w:rPr>
        <w:t>ciem papierów wartościowych</w:t>
      </w:r>
      <w:r w:rsidR="00BE7466">
        <w:rPr>
          <w:rFonts w:asciiTheme="minorHAnsi" w:hAnsiTheme="minorHAnsi"/>
          <w:sz w:val="18"/>
          <w:szCs w:val="18"/>
        </w:rPr>
        <w:t xml:space="preserve"> i pon</w:t>
      </w:r>
      <w:r>
        <w:rPr>
          <w:rFonts w:asciiTheme="minorHAnsi" w:hAnsiTheme="minorHAnsi"/>
          <w:sz w:val="18"/>
          <w:szCs w:val="18"/>
        </w:rPr>
        <w:t xml:space="preserve">ownego wykorzystania;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 xml:space="preserve">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4</w:t>
      </w:r>
      <w:r>
        <w:rPr>
          <w:rFonts w:asciiTheme="minorHAnsi" w:hAnsiTheme="minorHAnsi"/>
          <w:sz w:val="18"/>
          <w:szCs w:val="18"/>
        </w:rPr>
        <w:t xml:space="preserve"> – wyłączenie banków centralnych</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xml:space="preserve">– rozporządzenie (UE)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00/2014</w:t>
      </w:r>
      <w:r w:rsidR="00BE7466">
        <w:rPr>
          <w:rFonts w:asciiTheme="minorHAnsi" w:hAnsiTheme="minorHAnsi"/>
          <w:sz w:val="18"/>
          <w:szCs w:val="18"/>
        </w:rPr>
        <w:t xml:space="preserve"> w spr</w:t>
      </w:r>
      <w:r>
        <w:rPr>
          <w:rFonts w:asciiTheme="minorHAnsi" w:hAnsiTheme="minorHAnsi"/>
          <w:sz w:val="18"/>
          <w:szCs w:val="18"/>
        </w:rPr>
        <w:t xml:space="preserve">awie rynków instrumentów finansowych (MiFIR);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 xml:space="preserve">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9</w:t>
      </w:r>
      <w:r>
        <w:rPr>
          <w:rFonts w:asciiTheme="minorHAnsi" w:hAnsiTheme="minorHAnsi"/>
          <w:sz w:val="18"/>
          <w:szCs w:val="18"/>
        </w:rPr>
        <w:t xml:space="preserve"> – wyłączenie banków centralnych</w:t>
      </w:r>
    </w:p>
    <w:p w:rsidR="005B5E63" w:rsidRDefault="00B858F1">
      <w:pPr>
        <w:pStyle w:val="Tekstprzypisudolnego"/>
        <w:ind w:left="720"/>
      </w:pPr>
      <w:r>
        <w:rPr>
          <w:rFonts w:asciiTheme="minorHAnsi" w:hAnsiTheme="minorHAnsi"/>
          <w:sz w:val="18"/>
          <w:szCs w:val="18"/>
        </w:rPr>
        <w:t xml:space="preserve">– rozporządzenie (UE)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5</w:t>
      </w:r>
      <w:r>
        <w:rPr>
          <w:rFonts w:asciiTheme="minorHAnsi" w:hAnsiTheme="minorHAnsi"/>
          <w:sz w:val="18"/>
          <w:szCs w:val="18"/>
        </w:rPr>
        <w:t>96/2014</w:t>
      </w:r>
      <w:r w:rsidR="00BE7466">
        <w:rPr>
          <w:rFonts w:asciiTheme="minorHAnsi" w:hAnsiTheme="minorHAnsi"/>
          <w:sz w:val="18"/>
          <w:szCs w:val="18"/>
        </w:rPr>
        <w:t xml:space="preserve"> w spr</w:t>
      </w:r>
      <w:r>
        <w:rPr>
          <w:rFonts w:asciiTheme="minorHAnsi" w:hAnsiTheme="minorHAnsi"/>
          <w:sz w:val="18"/>
          <w:szCs w:val="18"/>
        </w:rPr>
        <w:t>awie wykorzystywania informacji poufnych, jak</w:t>
      </w:r>
      <w:r w:rsidR="00BE7466">
        <w:rPr>
          <w:rFonts w:asciiTheme="minorHAnsi" w:hAnsiTheme="minorHAnsi"/>
          <w:sz w:val="18"/>
          <w:szCs w:val="18"/>
        </w:rPr>
        <w:t xml:space="preserve"> i man</w:t>
      </w:r>
      <w:r>
        <w:rPr>
          <w:rFonts w:asciiTheme="minorHAnsi" w:hAnsiTheme="minorHAnsi"/>
          <w:sz w:val="18"/>
          <w:szCs w:val="18"/>
        </w:rPr>
        <w:t>ipulacji na rynku (rozporządzenie</w:t>
      </w:r>
      <w:r w:rsidR="00BE7466">
        <w:rPr>
          <w:rFonts w:asciiTheme="minorHAnsi" w:hAnsiTheme="minorHAnsi"/>
          <w:sz w:val="18"/>
          <w:szCs w:val="18"/>
        </w:rPr>
        <w:t xml:space="preserve"> w spr</w:t>
      </w:r>
      <w:r>
        <w:rPr>
          <w:rFonts w:asciiTheme="minorHAnsi" w:hAnsiTheme="minorHAnsi"/>
          <w:sz w:val="18"/>
          <w:szCs w:val="18"/>
        </w:rPr>
        <w:t xml:space="preserve">awie nadużyć na rynku);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 xml:space="preserve">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5</w:t>
      </w:r>
      <w:r>
        <w:rPr>
          <w:rFonts w:asciiTheme="minorHAnsi" w:hAnsiTheme="minorHAnsi"/>
          <w:sz w:val="18"/>
          <w:szCs w:val="18"/>
        </w:rPr>
        <w:t xml:space="preserve"> – wyłączenie banków centralnych</w:t>
      </w:r>
      <w:r w:rsidR="00BE7466">
        <w:rPr>
          <w:rFonts w:asciiTheme="minorHAnsi" w:hAnsiTheme="minorHAnsi"/>
          <w:sz w:val="18"/>
          <w:szCs w:val="18"/>
        </w:rPr>
        <w:t xml:space="preserve"> i org</w:t>
      </w:r>
      <w:r>
        <w:rPr>
          <w:rFonts w:asciiTheme="minorHAnsi" w:hAnsiTheme="minorHAnsi"/>
          <w:sz w:val="18"/>
          <w:szCs w:val="18"/>
        </w:rPr>
        <w:t>anów publicznych</w:t>
      </w:r>
    </w:p>
  </w:footnote>
  <w:footnote w:id="21">
    <w:p w:rsidR="005B5E63" w:rsidRDefault="00B858F1">
      <w:pPr>
        <w:pStyle w:val="Tekstprzypisudolnego"/>
        <w:rPr>
          <w:rFonts w:asciiTheme="minorHAnsi" w:hAnsiTheme="minorHAnsi" w:cstheme="minorHAnsi"/>
          <w:sz w:val="18"/>
          <w:szCs w:val="18"/>
        </w:rPr>
      </w:pPr>
      <w:r>
        <w:rPr>
          <w:rStyle w:val="Odwoanieprzypisudolnego"/>
        </w:rPr>
        <w:footnoteRef/>
      </w:r>
      <w:r>
        <w:t xml:space="preserve"> </w:t>
      </w:r>
      <w:r>
        <w:rPr>
          <w:rFonts w:asciiTheme="minorHAnsi" w:hAnsiTheme="minorHAnsi"/>
          <w:sz w:val="18"/>
          <w:szCs w:val="18"/>
        </w:rPr>
        <w:t>Dyrektywa 2004/109/WE – dyrektywa</w:t>
      </w:r>
      <w:r w:rsidR="00BE7466">
        <w:rPr>
          <w:rFonts w:asciiTheme="minorHAnsi" w:hAnsiTheme="minorHAnsi"/>
          <w:sz w:val="18"/>
          <w:szCs w:val="18"/>
        </w:rPr>
        <w:t xml:space="preserve"> w spr</w:t>
      </w:r>
      <w:r>
        <w:rPr>
          <w:rFonts w:asciiTheme="minorHAnsi" w:hAnsiTheme="minorHAnsi"/>
          <w:sz w:val="18"/>
          <w:szCs w:val="18"/>
        </w:rPr>
        <w:t xml:space="preserve">awie przejrzystości – standardy rachunkowości;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 xml:space="preserve">3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4</w:t>
      </w:r>
      <w:r>
        <w:rPr>
          <w:rFonts w:asciiTheme="minorHAnsi" w:hAnsiTheme="minorHAnsi"/>
          <w:sz w:val="18"/>
          <w:szCs w:val="18"/>
        </w:rPr>
        <w:t xml:space="preserve"> [akapit pierwszy ppkt (ii)] – ogólne wymogi dotyczące przejrzystości </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dyrektywa 2006/43/WE</w:t>
      </w:r>
      <w:r w:rsidR="00BE7466">
        <w:rPr>
          <w:rFonts w:asciiTheme="minorHAnsi" w:hAnsiTheme="minorHAnsi"/>
          <w:sz w:val="18"/>
          <w:szCs w:val="18"/>
        </w:rPr>
        <w:t xml:space="preserve"> w spr</w:t>
      </w:r>
      <w:r>
        <w:rPr>
          <w:rFonts w:asciiTheme="minorHAnsi" w:hAnsiTheme="minorHAnsi"/>
          <w:sz w:val="18"/>
          <w:szCs w:val="18"/>
        </w:rPr>
        <w:t>awie ustawowych badań rocznych sprawozdań finansowych</w:t>
      </w:r>
      <w:r w:rsidR="00BE7466">
        <w:rPr>
          <w:rFonts w:asciiTheme="minorHAnsi" w:hAnsiTheme="minorHAnsi"/>
          <w:sz w:val="18"/>
          <w:szCs w:val="18"/>
        </w:rPr>
        <w:t xml:space="preserve"> i sko</w:t>
      </w:r>
      <w:r>
        <w:rPr>
          <w:rFonts w:asciiTheme="minorHAnsi" w:hAnsiTheme="minorHAnsi"/>
          <w:sz w:val="18"/>
          <w:szCs w:val="18"/>
        </w:rPr>
        <w:t xml:space="preserve">nsolidowanych sprawozdań finansowych (badanie ustawowe);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4</w:t>
      </w:r>
      <w:r>
        <w:rPr>
          <w:rFonts w:asciiTheme="minorHAnsi" w:hAnsiTheme="minorHAnsi"/>
          <w:sz w:val="18"/>
          <w:szCs w:val="18"/>
        </w:rPr>
        <w:t xml:space="preserve">5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 xml:space="preserve"> – równoważność standardów</w:t>
      </w:r>
      <w:r w:rsidR="00BE7466">
        <w:rPr>
          <w:rFonts w:asciiTheme="minorHAnsi" w:hAnsiTheme="minorHAnsi"/>
          <w:sz w:val="18"/>
          <w:szCs w:val="18"/>
        </w:rPr>
        <w:t xml:space="preserve"> i wym</w:t>
      </w:r>
      <w:r>
        <w:rPr>
          <w:rFonts w:asciiTheme="minorHAnsi" w:hAnsiTheme="minorHAnsi"/>
          <w:sz w:val="18"/>
          <w:szCs w:val="18"/>
        </w:rPr>
        <w:t>ogów obowiązujących</w:t>
      </w:r>
      <w:r w:rsidR="00BE7466">
        <w:rPr>
          <w:rFonts w:asciiTheme="minorHAnsi" w:hAnsiTheme="minorHAnsi"/>
          <w:sz w:val="18"/>
          <w:szCs w:val="18"/>
        </w:rPr>
        <w:t xml:space="preserve"> w pań</w:t>
      </w:r>
      <w:r>
        <w:rPr>
          <w:rFonts w:asciiTheme="minorHAnsi" w:hAnsiTheme="minorHAnsi"/>
          <w:sz w:val="18"/>
          <w:szCs w:val="18"/>
        </w:rPr>
        <w:t>stwie trzecim</w:t>
      </w:r>
      <w:r w:rsidR="00BE7466">
        <w:rPr>
          <w:rFonts w:asciiTheme="minorHAnsi" w:hAnsiTheme="minorHAnsi"/>
          <w:sz w:val="18"/>
          <w:szCs w:val="18"/>
        </w:rPr>
        <w:t xml:space="preserve"> z mię</w:t>
      </w:r>
      <w:r>
        <w:rPr>
          <w:rFonts w:asciiTheme="minorHAnsi" w:hAnsiTheme="minorHAnsi"/>
          <w:sz w:val="18"/>
          <w:szCs w:val="18"/>
        </w:rPr>
        <w:t>dzynarodowymi standardami badania</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xml:space="preserve">– rozporządzenie (UE)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00/2014</w:t>
      </w:r>
      <w:r w:rsidR="00BE7466">
        <w:rPr>
          <w:rFonts w:asciiTheme="minorHAnsi" w:hAnsiTheme="minorHAnsi"/>
          <w:sz w:val="18"/>
          <w:szCs w:val="18"/>
        </w:rPr>
        <w:t xml:space="preserve"> w spr</w:t>
      </w:r>
      <w:r>
        <w:rPr>
          <w:rFonts w:asciiTheme="minorHAnsi" w:hAnsiTheme="minorHAnsi"/>
          <w:sz w:val="18"/>
          <w:szCs w:val="18"/>
        </w:rPr>
        <w:t xml:space="preserve">awie rynków instrumentów finansowych (MiFIR);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3</w:t>
      </w:r>
      <w:r>
        <w:rPr>
          <w:rFonts w:asciiTheme="minorHAnsi" w:hAnsiTheme="minorHAnsi"/>
          <w:sz w:val="18"/>
          <w:szCs w:val="18"/>
        </w:rPr>
        <w:t xml:space="preserve">3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 xml:space="preserve"> – instrumenty pochodne: realizacja transakcji</w:t>
      </w:r>
      <w:r w:rsidR="00BE7466">
        <w:rPr>
          <w:rFonts w:asciiTheme="minorHAnsi" w:hAnsiTheme="minorHAnsi"/>
          <w:sz w:val="18"/>
          <w:szCs w:val="18"/>
        </w:rPr>
        <w:t xml:space="preserve"> i obo</w:t>
      </w:r>
      <w:r>
        <w:rPr>
          <w:rFonts w:asciiTheme="minorHAnsi" w:hAnsiTheme="minorHAnsi"/>
          <w:sz w:val="18"/>
          <w:szCs w:val="18"/>
        </w:rPr>
        <w:t xml:space="preserve">wiązek rozliczania;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3</w:t>
      </w:r>
      <w:r>
        <w:rPr>
          <w:rFonts w:asciiTheme="minorHAnsi" w:hAnsiTheme="minorHAnsi"/>
          <w:sz w:val="18"/>
          <w:szCs w:val="18"/>
        </w:rPr>
        <w:t xml:space="preserve">8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3</w:t>
      </w:r>
      <w:r>
        <w:rPr>
          <w:rFonts w:asciiTheme="minorHAnsi" w:hAnsiTheme="minorHAnsi"/>
          <w:sz w:val="18"/>
          <w:szCs w:val="18"/>
        </w:rPr>
        <w:t xml:space="preserve"> – dostęp CCP</w:t>
      </w:r>
      <w:r w:rsidR="00BE7466">
        <w:rPr>
          <w:rFonts w:asciiTheme="minorHAnsi" w:hAnsiTheme="minorHAnsi"/>
          <w:sz w:val="18"/>
          <w:szCs w:val="18"/>
        </w:rPr>
        <w:t xml:space="preserve"> i sys</w:t>
      </w:r>
      <w:r>
        <w:rPr>
          <w:rFonts w:asciiTheme="minorHAnsi" w:hAnsiTheme="minorHAnsi"/>
          <w:sz w:val="18"/>
          <w:szCs w:val="18"/>
        </w:rPr>
        <w:t>temów obrotu</w:t>
      </w:r>
      <w:r w:rsidR="00BE7466">
        <w:rPr>
          <w:rFonts w:asciiTheme="minorHAnsi" w:hAnsiTheme="minorHAnsi"/>
          <w:sz w:val="18"/>
          <w:szCs w:val="18"/>
        </w:rPr>
        <w:t xml:space="preserve"> z pań</w:t>
      </w:r>
      <w:r>
        <w:rPr>
          <w:rFonts w:asciiTheme="minorHAnsi" w:hAnsiTheme="minorHAnsi"/>
          <w:sz w:val="18"/>
          <w:szCs w:val="18"/>
        </w:rPr>
        <w:t xml:space="preserve">stw trzecich;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4</w:t>
      </w:r>
      <w:r>
        <w:rPr>
          <w:rFonts w:asciiTheme="minorHAnsi" w:hAnsiTheme="minorHAnsi"/>
          <w:sz w:val="18"/>
          <w:szCs w:val="18"/>
        </w:rPr>
        <w:t xml:space="preserve">7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 xml:space="preserve"> – firmy inwestycyjne świadczące usługi inwestycyjne klientom profesjonalnym z UE</w:t>
      </w:r>
      <w:r w:rsidR="00BE7466">
        <w:rPr>
          <w:rFonts w:asciiTheme="minorHAnsi" w:hAnsiTheme="minorHAnsi"/>
          <w:sz w:val="18"/>
          <w:szCs w:val="18"/>
        </w:rPr>
        <w:t xml:space="preserve"> i upr</w:t>
      </w:r>
      <w:r>
        <w:rPr>
          <w:rFonts w:asciiTheme="minorHAnsi" w:hAnsiTheme="minorHAnsi"/>
          <w:sz w:val="18"/>
          <w:szCs w:val="18"/>
        </w:rPr>
        <w:t>awnionym kontrahentom</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dyrektywa 2014/65/UE</w:t>
      </w:r>
      <w:r w:rsidR="00BE7466">
        <w:rPr>
          <w:rFonts w:asciiTheme="minorHAnsi" w:hAnsiTheme="minorHAnsi"/>
          <w:sz w:val="18"/>
          <w:szCs w:val="18"/>
        </w:rPr>
        <w:t xml:space="preserve"> w spr</w:t>
      </w:r>
      <w:r>
        <w:rPr>
          <w:rFonts w:asciiTheme="minorHAnsi" w:hAnsiTheme="minorHAnsi"/>
          <w:sz w:val="18"/>
          <w:szCs w:val="18"/>
        </w:rPr>
        <w:t>awie rynków instrumentów finansowych oraz zmieniająca dyrektywę 2002/92/WE</w:t>
      </w:r>
      <w:r w:rsidR="00BE7466">
        <w:rPr>
          <w:rFonts w:asciiTheme="minorHAnsi" w:hAnsiTheme="minorHAnsi"/>
          <w:sz w:val="18"/>
          <w:szCs w:val="18"/>
        </w:rPr>
        <w:t xml:space="preserve"> i dyr</w:t>
      </w:r>
      <w:r>
        <w:rPr>
          <w:rFonts w:asciiTheme="minorHAnsi" w:hAnsiTheme="minorHAnsi"/>
          <w:sz w:val="18"/>
          <w:szCs w:val="18"/>
        </w:rPr>
        <w:t xml:space="preserve">ektywę 2011/61/UE (MiFID 2 – wersja przekształcona;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 xml:space="preserve">5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4</w:t>
      </w:r>
      <w:r>
        <w:rPr>
          <w:rFonts w:asciiTheme="minorHAnsi" w:hAnsiTheme="minorHAnsi"/>
          <w:sz w:val="18"/>
          <w:szCs w:val="18"/>
        </w:rPr>
        <w:t xml:space="preserve"> </w:t>
      </w:r>
      <w:r w:rsidRPr="00C43387">
        <w:rPr>
          <w:rFonts w:asciiTheme="minorHAnsi" w:hAnsiTheme="minorHAnsi"/>
          <w:sz w:val="18"/>
          <w:szCs w:val="18"/>
        </w:rPr>
        <w:t>lit.</w:t>
      </w:r>
      <w:r w:rsidR="00C43387" w:rsidRPr="00C43387">
        <w:rPr>
          <w:rFonts w:asciiTheme="minorHAnsi" w:hAnsiTheme="minorHAnsi"/>
          <w:sz w:val="18"/>
          <w:szCs w:val="18"/>
        </w:rPr>
        <w:t> </w:t>
      </w:r>
      <w:r w:rsidRPr="00C43387">
        <w:rPr>
          <w:rFonts w:asciiTheme="minorHAnsi" w:hAnsiTheme="minorHAnsi"/>
          <w:sz w:val="18"/>
          <w:szCs w:val="18"/>
        </w:rPr>
        <w:t>a)</w:t>
      </w:r>
      <w:r>
        <w:rPr>
          <w:rFonts w:asciiTheme="minorHAnsi" w:hAnsiTheme="minorHAnsi"/>
          <w:sz w:val="18"/>
          <w:szCs w:val="18"/>
        </w:rPr>
        <w:t xml:space="preserve"> – rynki regulowane</w:t>
      </w:r>
      <w:r w:rsidR="00BE7466">
        <w:rPr>
          <w:rFonts w:asciiTheme="minorHAnsi" w:hAnsiTheme="minorHAnsi"/>
          <w:sz w:val="18"/>
          <w:szCs w:val="18"/>
        </w:rPr>
        <w:t xml:space="preserve"> w cel</w:t>
      </w:r>
      <w:r>
        <w:rPr>
          <w:rFonts w:asciiTheme="minorHAnsi" w:hAnsiTheme="minorHAnsi"/>
          <w:sz w:val="18"/>
          <w:szCs w:val="18"/>
        </w:rPr>
        <w:t>u ułatwienia dystrybucji określonych instrumentów finansowych w UE</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xml:space="preserve">– rozporządzenie (UE)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5</w:t>
      </w:r>
      <w:r>
        <w:rPr>
          <w:rFonts w:asciiTheme="minorHAnsi" w:hAnsiTheme="minorHAnsi"/>
          <w:sz w:val="18"/>
          <w:szCs w:val="18"/>
        </w:rPr>
        <w:t>96/2014</w:t>
      </w:r>
      <w:r w:rsidR="00BE7466">
        <w:rPr>
          <w:rFonts w:asciiTheme="minorHAnsi" w:hAnsiTheme="minorHAnsi"/>
          <w:sz w:val="18"/>
          <w:szCs w:val="18"/>
        </w:rPr>
        <w:t xml:space="preserve"> w spr</w:t>
      </w:r>
      <w:r>
        <w:rPr>
          <w:rFonts w:asciiTheme="minorHAnsi" w:hAnsiTheme="minorHAnsi"/>
          <w:sz w:val="18"/>
          <w:szCs w:val="18"/>
        </w:rPr>
        <w:t>awie wykorzystywania informacji poufnych, jak</w:t>
      </w:r>
      <w:r w:rsidR="00BE7466">
        <w:rPr>
          <w:rFonts w:asciiTheme="minorHAnsi" w:hAnsiTheme="minorHAnsi"/>
          <w:sz w:val="18"/>
          <w:szCs w:val="18"/>
        </w:rPr>
        <w:t xml:space="preserve"> i man</w:t>
      </w:r>
      <w:r>
        <w:rPr>
          <w:rFonts w:asciiTheme="minorHAnsi" w:hAnsiTheme="minorHAnsi"/>
          <w:sz w:val="18"/>
          <w:szCs w:val="18"/>
        </w:rPr>
        <w:t>ipulacji na rynku (rozporządzenie</w:t>
      </w:r>
      <w:r w:rsidR="00BE7466">
        <w:rPr>
          <w:rFonts w:asciiTheme="minorHAnsi" w:hAnsiTheme="minorHAnsi"/>
          <w:sz w:val="18"/>
          <w:szCs w:val="18"/>
        </w:rPr>
        <w:t xml:space="preserve"> w spr</w:t>
      </w:r>
      <w:r>
        <w:rPr>
          <w:rFonts w:asciiTheme="minorHAnsi" w:hAnsiTheme="minorHAnsi"/>
          <w:sz w:val="18"/>
          <w:szCs w:val="18"/>
        </w:rPr>
        <w:t xml:space="preserve">awie nadużyć na rynku);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 xml:space="preserve">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6</w:t>
      </w:r>
      <w:r>
        <w:rPr>
          <w:rFonts w:asciiTheme="minorHAnsi" w:hAnsiTheme="minorHAnsi"/>
          <w:sz w:val="18"/>
          <w:szCs w:val="18"/>
        </w:rPr>
        <w:t xml:space="preserve"> – wyłączenie dotyczące działalności związanej</w:t>
      </w:r>
      <w:r w:rsidR="00BE7466">
        <w:rPr>
          <w:rFonts w:asciiTheme="minorHAnsi" w:hAnsiTheme="minorHAnsi"/>
          <w:sz w:val="18"/>
          <w:szCs w:val="18"/>
        </w:rPr>
        <w:t xml:space="preserve"> z pol</w:t>
      </w:r>
      <w:r>
        <w:rPr>
          <w:rFonts w:asciiTheme="minorHAnsi" w:hAnsiTheme="minorHAnsi"/>
          <w:sz w:val="18"/>
          <w:szCs w:val="18"/>
        </w:rPr>
        <w:t>ityką klimatyczną</w:t>
      </w:r>
    </w:p>
    <w:p w:rsidR="005B5E63" w:rsidRDefault="00B858F1">
      <w:pPr>
        <w:pStyle w:val="Tekstprzypisudolnego"/>
        <w:ind w:firstLine="720"/>
        <w:rPr>
          <w:rFonts w:asciiTheme="minorHAnsi" w:hAnsiTheme="minorHAnsi" w:cstheme="minorHAnsi"/>
          <w:sz w:val="18"/>
          <w:szCs w:val="18"/>
        </w:rPr>
      </w:pPr>
      <w:r>
        <w:rPr>
          <w:rFonts w:asciiTheme="minorHAnsi" w:hAnsiTheme="minorHAnsi"/>
          <w:sz w:val="18"/>
          <w:szCs w:val="18"/>
        </w:rPr>
        <w:t xml:space="preserve">– rozporządzenie (UE) </w:t>
      </w:r>
      <w:r w:rsidRPr="00C43387">
        <w:rPr>
          <w:rFonts w:asciiTheme="minorHAnsi" w:hAnsiTheme="minorHAnsi"/>
          <w:sz w:val="18"/>
          <w:szCs w:val="18"/>
        </w:rPr>
        <w:t>nr</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36/2012</w:t>
      </w:r>
      <w:r w:rsidR="00BE7466">
        <w:rPr>
          <w:rFonts w:asciiTheme="minorHAnsi" w:hAnsiTheme="minorHAnsi"/>
          <w:sz w:val="18"/>
          <w:szCs w:val="18"/>
        </w:rPr>
        <w:t xml:space="preserve"> w spr</w:t>
      </w:r>
      <w:r>
        <w:rPr>
          <w:rFonts w:asciiTheme="minorHAnsi" w:hAnsiTheme="minorHAnsi"/>
          <w:sz w:val="18"/>
          <w:szCs w:val="18"/>
        </w:rPr>
        <w:t>awie krótkiej sprzedaży</w:t>
      </w:r>
      <w:r w:rsidR="00BE7466">
        <w:rPr>
          <w:rFonts w:asciiTheme="minorHAnsi" w:hAnsiTheme="minorHAnsi"/>
          <w:sz w:val="18"/>
          <w:szCs w:val="18"/>
        </w:rPr>
        <w:t xml:space="preserve"> i wyb</w:t>
      </w:r>
      <w:r>
        <w:rPr>
          <w:rFonts w:asciiTheme="minorHAnsi" w:hAnsiTheme="minorHAnsi"/>
          <w:sz w:val="18"/>
          <w:szCs w:val="18"/>
        </w:rPr>
        <w:t>ranych aspektów dotyczących swapów ryzyka kredytowego;</w:t>
      </w:r>
    </w:p>
    <w:p w:rsidR="005B5E63" w:rsidRDefault="00B858F1">
      <w:pPr>
        <w:pStyle w:val="Tekstprzypisudolnego"/>
        <w:ind w:firstLine="720"/>
        <w:rPr>
          <w:rFonts w:asciiTheme="minorHAnsi" w:hAnsiTheme="minorHAnsi" w:cstheme="minorHAnsi"/>
          <w:sz w:val="18"/>
          <w:szCs w:val="18"/>
        </w:rPr>
      </w:pP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1</w:t>
      </w:r>
      <w:r>
        <w:rPr>
          <w:rFonts w:asciiTheme="minorHAnsi" w:hAnsiTheme="minorHAnsi"/>
          <w:sz w:val="18"/>
          <w:szCs w:val="18"/>
        </w:rPr>
        <w:t xml:space="preserve">7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 xml:space="preserve"> – wyłączenie</w:t>
      </w:r>
      <w:r w:rsidR="00BE7466">
        <w:rPr>
          <w:rFonts w:asciiTheme="minorHAnsi" w:hAnsiTheme="minorHAnsi"/>
          <w:sz w:val="18"/>
          <w:szCs w:val="18"/>
        </w:rPr>
        <w:t xml:space="preserve"> w prz</w:t>
      </w:r>
      <w:r>
        <w:rPr>
          <w:rFonts w:asciiTheme="minorHAnsi" w:hAnsiTheme="minorHAnsi"/>
          <w:sz w:val="18"/>
          <w:szCs w:val="18"/>
        </w:rPr>
        <w:t>ypadku działalności animatora rynku</w:t>
      </w:r>
    </w:p>
    <w:p w:rsidR="005B5E63" w:rsidRDefault="00B858F1">
      <w:pPr>
        <w:pStyle w:val="Tekstprzypisudolnego"/>
        <w:ind w:left="720"/>
        <w:rPr>
          <w:rFonts w:asciiTheme="minorHAnsi" w:hAnsiTheme="minorHAnsi" w:cstheme="minorHAnsi"/>
          <w:sz w:val="18"/>
          <w:szCs w:val="18"/>
        </w:rPr>
      </w:pPr>
      <w:r>
        <w:rPr>
          <w:rFonts w:asciiTheme="minorHAnsi" w:hAnsiTheme="minorHAnsi"/>
          <w:sz w:val="18"/>
          <w:szCs w:val="18"/>
        </w:rPr>
        <w:t>– rozporządzenie (UE) 2017/1129</w:t>
      </w:r>
      <w:r w:rsidR="00BE7466">
        <w:rPr>
          <w:rFonts w:asciiTheme="minorHAnsi" w:hAnsiTheme="minorHAnsi"/>
          <w:sz w:val="18"/>
          <w:szCs w:val="18"/>
        </w:rPr>
        <w:t xml:space="preserve"> z dni</w:t>
      </w:r>
      <w:r>
        <w:rPr>
          <w:rFonts w:asciiTheme="minorHAnsi" w:hAnsiTheme="minorHAnsi"/>
          <w:sz w:val="18"/>
          <w:szCs w:val="18"/>
        </w:rPr>
        <w:t>a 14 czerwca 20</w:t>
      </w:r>
      <w:r w:rsidRPr="00C43387">
        <w:rPr>
          <w:rFonts w:asciiTheme="minorHAnsi" w:hAnsiTheme="minorHAnsi"/>
          <w:sz w:val="18"/>
          <w:szCs w:val="18"/>
        </w:rPr>
        <w:t>17</w:t>
      </w:r>
      <w:r w:rsidR="00C43387" w:rsidRPr="00C43387">
        <w:rPr>
          <w:rFonts w:asciiTheme="minorHAnsi" w:hAnsiTheme="minorHAnsi"/>
          <w:sz w:val="18"/>
          <w:szCs w:val="18"/>
        </w:rPr>
        <w:t> </w:t>
      </w:r>
      <w:r w:rsidRPr="00C43387">
        <w:rPr>
          <w:rFonts w:asciiTheme="minorHAnsi" w:hAnsiTheme="minorHAnsi"/>
          <w:sz w:val="18"/>
          <w:szCs w:val="18"/>
        </w:rPr>
        <w:t>r.</w:t>
      </w:r>
      <w:r w:rsidR="00BE7466">
        <w:rPr>
          <w:rFonts w:asciiTheme="minorHAnsi" w:hAnsiTheme="minorHAnsi"/>
          <w:sz w:val="18"/>
          <w:szCs w:val="18"/>
        </w:rPr>
        <w:t xml:space="preserve"> w spr</w:t>
      </w:r>
      <w:r>
        <w:rPr>
          <w:rFonts w:asciiTheme="minorHAnsi" w:hAnsiTheme="minorHAnsi"/>
          <w:sz w:val="18"/>
          <w:szCs w:val="18"/>
        </w:rPr>
        <w:t>awie prospektu, który ma być publikowany</w:t>
      </w:r>
      <w:r w:rsidR="00BE7466">
        <w:rPr>
          <w:rFonts w:asciiTheme="minorHAnsi" w:hAnsiTheme="minorHAnsi"/>
          <w:sz w:val="18"/>
          <w:szCs w:val="18"/>
        </w:rPr>
        <w:t xml:space="preserve"> w zwi</w:t>
      </w:r>
      <w:r>
        <w:rPr>
          <w:rFonts w:asciiTheme="minorHAnsi" w:hAnsiTheme="minorHAnsi"/>
          <w:sz w:val="18"/>
          <w:szCs w:val="18"/>
        </w:rPr>
        <w:t>ązku</w:t>
      </w:r>
      <w:r w:rsidR="00BE7466">
        <w:rPr>
          <w:rFonts w:asciiTheme="minorHAnsi" w:hAnsiTheme="minorHAnsi"/>
          <w:sz w:val="18"/>
          <w:szCs w:val="18"/>
        </w:rPr>
        <w:t xml:space="preserve"> z ofe</w:t>
      </w:r>
      <w:r>
        <w:rPr>
          <w:rFonts w:asciiTheme="minorHAnsi" w:hAnsiTheme="minorHAnsi"/>
          <w:sz w:val="18"/>
          <w:szCs w:val="18"/>
        </w:rPr>
        <w:t xml:space="preserve">rtą publiczną papierów wartościowych lub dopuszczeniem ich do obrotu na rynku regulowanym oraz uchylenia dyrektywy 2003/71/WE;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2</w:t>
      </w:r>
      <w:r>
        <w:rPr>
          <w:rFonts w:asciiTheme="minorHAnsi" w:hAnsiTheme="minorHAnsi"/>
          <w:sz w:val="18"/>
          <w:szCs w:val="18"/>
        </w:rPr>
        <w:t xml:space="preserve">9 </w:t>
      </w:r>
      <w:r w:rsidRPr="00C43387">
        <w:rPr>
          <w:rFonts w:asciiTheme="minorHAnsi" w:hAnsiTheme="minorHAnsi"/>
          <w:sz w:val="18"/>
          <w:szCs w:val="18"/>
        </w:rPr>
        <w:t>ust.</w:t>
      </w:r>
      <w:r w:rsidR="00C43387" w:rsidRPr="00C43387">
        <w:rPr>
          <w:rFonts w:asciiTheme="minorHAnsi" w:hAnsiTheme="minorHAnsi"/>
          <w:sz w:val="18"/>
          <w:szCs w:val="18"/>
        </w:rPr>
        <w:t> </w:t>
      </w:r>
      <w:r w:rsidRPr="00C43387">
        <w:rPr>
          <w:rFonts w:asciiTheme="minorHAnsi" w:hAnsiTheme="minorHAnsi"/>
          <w:sz w:val="18"/>
          <w:szCs w:val="18"/>
        </w:rPr>
        <w:t>3</w:t>
      </w:r>
      <w:r>
        <w:rPr>
          <w:rFonts w:asciiTheme="minorHAnsi" w:hAnsiTheme="minorHAnsi"/>
          <w:sz w:val="18"/>
          <w:szCs w:val="18"/>
        </w:rPr>
        <w:t xml:space="preserve"> – zasady dotyczące prospektu </w:t>
      </w:r>
    </w:p>
    <w:p w:rsidR="005B5E63" w:rsidRDefault="005B5E63">
      <w:pPr>
        <w:pStyle w:val="Tekstprzypisudolnego"/>
      </w:pPr>
    </w:p>
    <w:p w:rsidR="005B5E63" w:rsidRDefault="005B5E63">
      <w:pPr>
        <w:pStyle w:val="Tekstprzypisudolnego"/>
      </w:pPr>
    </w:p>
  </w:footnote>
  <w:footnote w:id="22">
    <w:p w:rsidR="005B5E63" w:rsidRDefault="00B858F1">
      <w:pPr>
        <w:pStyle w:val="Tekstprzypisudolnego"/>
      </w:pPr>
      <w:r>
        <w:rPr>
          <w:rStyle w:val="Odwoanieprzypisudolnego"/>
        </w:rPr>
        <w:footnoteRef/>
      </w:r>
      <w:r>
        <w:t xml:space="preserve"> Z wyjątkiem Irlandii Północnej, która zgodnie</w:t>
      </w:r>
      <w:r w:rsidR="00BE7466">
        <w:t xml:space="preserve"> z</w:t>
      </w:r>
      <w:r w:rsidR="00BE7466">
        <w:rPr>
          <w:rFonts w:ascii="Calibri" w:hAnsi="Calibri" w:cs="Calibri"/>
        </w:rPr>
        <w:t> </w:t>
      </w:r>
      <w:r w:rsidR="00BE7466">
        <w:t>Pro</w:t>
      </w:r>
      <w:r>
        <w:t>tokołem</w:t>
      </w:r>
      <w:r w:rsidR="00BE7466">
        <w:t xml:space="preserve"> w</w:t>
      </w:r>
      <w:r w:rsidR="00BE7466">
        <w:rPr>
          <w:rFonts w:ascii="Calibri" w:hAnsi="Calibri" w:cs="Calibri"/>
        </w:rPr>
        <w:t> </w:t>
      </w:r>
      <w:r w:rsidR="00BE7466">
        <w:t>spr</w:t>
      </w:r>
      <w:r>
        <w:t>awie Irlandii</w:t>
      </w:r>
      <w:r w:rsidR="00BE7466">
        <w:t xml:space="preserve"> i</w:t>
      </w:r>
      <w:r w:rsidR="00BE7466">
        <w:rPr>
          <w:rFonts w:ascii="Calibri" w:hAnsi="Calibri" w:cs="Calibri"/>
        </w:rPr>
        <w:t> </w:t>
      </w:r>
      <w:r w:rsidR="00BE7466">
        <w:t>Irl</w:t>
      </w:r>
      <w:r>
        <w:t>andii Północnej pozostanie dostosowana do ograniczonego zbioru przepisów unijnych, tak aby uniknąć kontroli celnych na wyspie Irlandii.</w:t>
      </w:r>
    </w:p>
  </w:footnote>
  <w:footnote w:id="23">
    <w:p w:rsidR="005B5E63" w:rsidRPr="00C43387" w:rsidRDefault="00B858F1">
      <w:pPr>
        <w:pStyle w:val="Tekstprzypisudolnego"/>
      </w:pPr>
      <w:r>
        <w:rPr>
          <w:rStyle w:val="Odwoanieprzypisudolnego"/>
        </w:rPr>
        <w:footnoteRef/>
      </w:r>
      <w:r>
        <w:t xml:space="preserve"> </w:t>
      </w:r>
      <w:r>
        <w:rPr>
          <w:rFonts w:asciiTheme="minorHAnsi" w:hAnsiTheme="minorHAnsi"/>
          <w:sz w:val="18"/>
        </w:rPr>
        <w:t>Osoby objęte zakresem części drugiej umowy</w:t>
      </w:r>
      <w:r w:rsidR="00BE7466">
        <w:rPr>
          <w:rFonts w:asciiTheme="minorHAnsi" w:hAnsiTheme="minorHAnsi"/>
          <w:sz w:val="18"/>
        </w:rPr>
        <w:t xml:space="preserve"> o wys</w:t>
      </w:r>
      <w:r>
        <w:rPr>
          <w:rFonts w:asciiTheme="minorHAnsi" w:hAnsiTheme="minorHAnsi"/>
          <w:sz w:val="18"/>
        </w:rPr>
        <w:t>tąpieniu będą jednak korzystały ze stosowania przepisów dotyczących jednolitego rynku UE</w:t>
      </w:r>
      <w:r w:rsidR="00BE7466">
        <w:rPr>
          <w:rFonts w:asciiTheme="minorHAnsi" w:hAnsiTheme="minorHAnsi"/>
          <w:sz w:val="18"/>
        </w:rPr>
        <w:t xml:space="preserve"> w odn</w:t>
      </w:r>
      <w:r>
        <w:rPr>
          <w:rFonts w:asciiTheme="minorHAnsi" w:hAnsiTheme="minorHAnsi"/>
          <w:sz w:val="18"/>
        </w:rPr>
        <w:t>iesieniu do procedur</w:t>
      </w:r>
      <w:r w:rsidR="00BE7466">
        <w:rPr>
          <w:rFonts w:asciiTheme="minorHAnsi" w:hAnsiTheme="minorHAnsi"/>
          <w:sz w:val="18"/>
        </w:rPr>
        <w:t xml:space="preserve"> w spr</w:t>
      </w:r>
      <w:r>
        <w:rPr>
          <w:rFonts w:asciiTheme="minorHAnsi" w:hAnsiTheme="minorHAnsi"/>
          <w:sz w:val="18"/>
        </w:rPr>
        <w:t>awie uznania kwalifikacji, które będą</w:t>
      </w:r>
      <w:r w:rsidR="00BE7466">
        <w:rPr>
          <w:rFonts w:asciiTheme="minorHAnsi" w:hAnsiTheme="minorHAnsi"/>
          <w:sz w:val="18"/>
        </w:rPr>
        <w:t xml:space="preserve"> w tok</w:t>
      </w:r>
      <w:r>
        <w:rPr>
          <w:rFonts w:asciiTheme="minorHAnsi" w:hAnsiTheme="minorHAnsi"/>
          <w:sz w:val="18"/>
        </w:rPr>
        <w:t>u dniu 31 grudnia 20</w:t>
      </w:r>
      <w:r w:rsidRPr="00C43387">
        <w:rPr>
          <w:rFonts w:asciiTheme="minorHAnsi" w:hAnsiTheme="minorHAnsi"/>
          <w:sz w:val="18"/>
        </w:rPr>
        <w:t>20</w:t>
      </w:r>
      <w:r w:rsidR="00C43387" w:rsidRPr="00C43387">
        <w:rPr>
          <w:rFonts w:asciiTheme="minorHAnsi" w:hAnsiTheme="minorHAnsi"/>
          <w:sz w:val="18"/>
        </w:rPr>
        <w:t> </w:t>
      </w:r>
      <w:r w:rsidRPr="00C43387">
        <w:rPr>
          <w:rFonts w:asciiTheme="minorHAnsi" w:hAnsiTheme="minorHAnsi"/>
          <w:sz w:val="18"/>
        </w:rPr>
        <w:t>r.</w:t>
      </w:r>
      <w:r w:rsidR="00C43387" w:rsidRPr="00C43387">
        <w:rPr>
          <w:sz w:val="18"/>
        </w:rPr>
        <w:t xml:space="preserve"> </w:t>
      </w:r>
    </w:p>
  </w:footnote>
  <w:footnote w:id="24">
    <w:p w:rsidR="005B5E63" w:rsidRDefault="00B858F1">
      <w:pPr>
        <w:pStyle w:val="Tekstprzypisudolnego"/>
      </w:pPr>
      <w:r>
        <w:rPr>
          <w:rStyle w:val="Odwoanieprzypisudolnego"/>
        </w:rPr>
        <w:footnoteRef/>
      </w:r>
      <w:r>
        <w:t xml:space="preserve"> </w:t>
      </w:r>
      <w:r>
        <w:rPr>
          <w:rFonts w:asciiTheme="minorHAnsi" w:hAnsiTheme="minorHAnsi"/>
          <w:sz w:val="18"/>
          <w:szCs w:val="18"/>
        </w:rPr>
        <w:t>Nie ma to zastosowania do elektroenergetycznych połączeń wzajemnych między Irlandią Północną</w:t>
      </w:r>
      <w:r w:rsidR="00BE7466">
        <w:rPr>
          <w:rFonts w:asciiTheme="minorHAnsi" w:hAnsiTheme="minorHAnsi"/>
          <w:sz w:val="18"/>
          <w:szCs w:val="18"/>
        </w:rPr>
        <w:t xml:space="preserve"> a Irl</w:t>
      </w:r>
      <w:r>
        <w:rPr>
          <w:rFonts w:asciiTheme="minorHAnsi" w:hAnsiTheme="minorHAnsi"/>
          <w:sz w:val="18"/>
          <w:szCs w:val="18"/>
        </w:rPr>
        <w:t xml:space="preserve">andią, ponieważ na podstawie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9</w:t>
      </w:r>
      <w:r>
        <w:rPr>
          <w:rFonts w:asciiTheme="minorHAnsi" w:hAnsiTheme="minorHAnsi"/>
          <w:sz w:val="18"/>
          <w:szCs w:val="18"/>
        </w:rPr>
        <w:t xml:space="preserve"> umowy</w:t>
      </w:r>
      <w:r w:rsidR="00BE7466">
        <w:rPr>
          <w:rFonts w:asciiTheme="minorHAnsi" w:hAnsiTheme="minorHAnsi"/>
          <w:sz w:val="18"/>
          <w:szCs w:val="18"/>
        </w:rPr>
        <w:t xml:space="preserve"> o wys</w:t>
      </w:r>
      <w:r>
        <w:rPr>
          <w:rFonts w:asciiTheme="minorHAnsi" w:hAnsiTheme="minorHAnsi"/>
          <w:sz w:val="18"/>
          <w:szCs w:val="18"/>
        </w:rPr>
        <w:t>tąpieniu Irlandia Północna będzie nadal uczestniczyć</w:t>
      </w:r>
      <w:r w:rsidR="00BE7466">
        <w:rPr>
          <w:rFonts w:asciiTheme="minorHAnsi" w:hAnsiTheme="minorHAnsi"/>
          <w:sz w:val="18"/>
          <w:szCs w:val="18"/>
        </w:rPr>
        <w:t xml:space="preserve"> w zin</w:t>
      </w:r>
      <w:r>
        <w:rPr>
          <w:rFonts w:asciiTheme="minorHAnsi" w:hAnsiTheme="minorHAnsi"/>
          <w:sz w:val="18"/>
          <w:szCs w:val="18"/>
        </w:rPr>
        <w:t>tegrowanym jednolitym rynku energii elektrycznej na całej wyspie Irlandii.</w:t>
      </w:r>
    </w:p>
  </w:footnote>
  <w:footnote w:id="25">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Niniejsza sekcja (kontrole osób) nie ma zastosowania do podróży między Zjednoczonym Królestwem</w:t>
      </w:r>
      <w:r w:rsidR="00BE7466">
        <w:rPr>
          <w:rFonts w:asciiTheme="minorHAnsi" w:hAnsiTheme="minorHAnsi"/>
          <w:sz w:val="18"/>
          <w:szCs w:val="18"/>
        </w:rPr>
        <w:t xml:space="preserve"> a Irl</w:t>
      </w:r>
      <w:r>
        <w:rPr>
          <w:rFonts w:asciiTheme="minorHAnsi" w:hAnsiTheme="minorHAnsi"/>
          <w:sz w:val="18"/>
          <w:szCs w:val="18"/>
        </w:rPr>
        <w:t>andią, biorąc pod uwagę, że zgodnie</w:t>
      </w:r>
      <w:r w:rsidR="00BE7466">
        <w:rPr>
          <w:rFonts w:asciiTheme="minorHAnsi" w:hAnsiTheme="minorHAnsi"/>
          <w:sz w:val="18"/>
          <w:szCs w:val="18"/>
        </w:rPr>
        <w:t xml:space="preserve"> z Pro</w:t>
      </w:r>
      <w:r>
        <w:rPr>
          <w:rFonts w:asciiTheme="minorHAnsi" w:hAnsiTheme="minorHAnsi"/>
          <w:sz w:val="18"/>
          <w:szCs w:val="18"/>
        </w:rPr>
        <w:t>tokołem</w:t>
      </w:r>
      <w:r w:rsidR="00BE7466">
        <w:rPr>
          <w:rFonts w:asciiTheme="minorHAnsi" w:hAnsiTheme="minorHAnsi"/>
          <w:sz w:val="18"/>
          <w:szCs w:val="18"/>
        </w:rPr>
        <w:t xml:space="preserve"> w spr</w:t>
      </w:r>
      <w:r>
        <w:rPr>
          <w:rFonts w:asciiTheme="minorHAnsi" w:hAnsiTheme="minorHAnsi"/>
          <w:sz w:val="18"/>
          <w:szCs w:val="18"/>
        </w:rPr>
        <w:t>awie Irlandii</w:t>
      </w:r>
      <w:r w:rsidR="00BE7466">
        <w:rPr>
          <w:rFonts w:asciiTheme="minorHAnsi" w:hAnsiTheme="minorHAnsi"/>
          <w:sz w:val="18"/>
          <w:szCs w:val="18"/>
        </w:rPr>
        <w:t xml:space="preserve"> i Irl</w:t>
      </w:r>
      <w:r>
        <w:rPr>
          <w:rFonts w:asciiTheme="minorHAnsi" w:hAnsiTheme="minorHAnsi"/>
          <w:sz w:val="18"/>
          <w:szCs w:val="18"/>
        </w:rPr>
        <w:t>andii Północnej Zjednoczone Królestwo</w:t>
      </w:r>
      <w:r w:rsidR="00BE7466">
        <w:rPr>
          <w:rFonts w:asciiTheme="minorHAnsi" w:hAnsiTheme="minorHAnsi"/>
          <w:sz w:val="18"/>
          <w:szCs w:val="18"/>
        </w:rPr>
        <w:t xml:space="preserve"> i Irl</w:t>
      </w:r>
      <w:r>
        <w:rPr>
          <w:rFonts w:asciiTheme="minorHAnsi" w:hAnsiTheme="minorHAnsi"/>
          <w:sz w:val="18"/>
          <w:szCs w:val="18"/>
        </w:rPr>
        <w:t>andia mogą nadal uzgadniać między sobą kwestie dotyczące przepływu osób między ich terytoriami („wspólna strefa podróżowania”),</w:t>
      </w:r>
      <w:r w:rsidR="00BE7466">
        <w:rPr>
          <w:rFonts w:asciiTheme="minorHAnsi" w:hAnsiTheme="minorHAnsi"/>
          <w:sz w:val="18"/>
          <w:szCs w:val="18"/>
        </w:rPr>
        <w:t xml:space="preserve"> w peł</w:t>
      </w:r>
      <w:r>
        <w:rPr>
          <w:rFonts w:asciiTheme="minorHAnsi" w:hAnsiTheme="minorHAnsi"/>
          <w:sz w:val="18"/>
          <w:szCs w:val="18"/>
        </w:rPr>
        <w:t>ni przestrzegając praw, jakie przysługują osobom fizycznym na mocy prawa Unii.</w:t>
      </w:r>
    </w:p>
  </w:footnote>
  <w:footnote w:id="26">
    <w:p w:rsidR="005B5E63" w:rsidRDefault="00B858F1">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sz w:val="18"/>
          <w:szCs w:val="18"/>
        </w:rPr>
        <w:t xml:space="preserve"> Obywatele Unii,</w:t>
      </w:r>
      <w:r w:rsidR="00BE7466">
        <w:rPr>
          <w:rFonts w:ascii="Calibri" w:hAnsi="Calibri"/>
          <w:sz w:val="18"/>
          <w:szCs w:val="18"/>
        </w:rPr>
        <w:t xml:space="preserve"> z wyj</w:t>
      </w:r>
      <w:r>
        <w:rPr>
          <w:rFonts w:ascii="Calibri" w:hAnsi="Calibri"/>
          <w:sz w:val="18"/>
          <w:szCs w:val="18"/>
        </w:rPr>
        <w:t>ątkiem osób posiadających obywatelstwo irlandzkie, muszą złożyć wniosek</w:t>
      </w:r>
      <w:r w:rsidR="00BE7466">
        <w:rPr>
          <w:rFonts w:ascii="Calibri" w:hAnsi="Calibri"/>
          <w:sz w:val="18"/>
          <w:szCs w:val="18"/>
        </w:rPr>
        <w:t xml:space="preserve"> o uzy</w:t>
      </w:r>
      <w:r>
        <w:rPr>
          <w:rFonts w:ascii="Calibri" w:hAnsi="Calibri"/>
          <w:sz w:val="18"/>
          <w:szCs w:val="18"/>
        </w:rPr>
        <w:t>skanie „statusu osoby osiedlonej” lub „wstępnego statusu osoby osiedlonej”</w:t>
      </w:r>
      <w:r w:rsidR="00BE7466">
        <w:rPr>
          <w:rFonts w:ascii="Calibri" w:hAnsi="Calibri"/>
          <w:sz w:val="18"/>
          <w:szCs w:val="18"/>
        </w:rPr>
        <w:t xml:space="preserve"> w ram</w:t>
      </w:r>
      <w:r>
        <w:rPr>
          <w:rFonts w:ascii="Calibri" w:hAnsi="Calibri"/>
          <w:sz w:val="18"/>
          <w:szCs w:val="18"/>
        </w:rPr>
        <w:t>ach systemu przyznawania statusu osoby osiedlonej obowiązującego</w:t>
      </w:r>
      <w:r w:rsidR="00BE7466">
        <w:rPr>
          <w:rFonts w:ascii="Calibri" w:hAnsi="Calibri"/>
          <w:sz w:val="18"/>
          <w:szCs w:val="18"/>
        </w:rPr>
        <w:t xml:space="preserve"> w Zje</w:t>
      </w:r>
      <w:r>
        <w:rPr>
          <w:rFonts w:ascii="Calibri" w:hAnsi="Calibri"/>
          <w:sz w:val="18"/>
          <w:szCs w:val="18"/>
        </w:rPr>
        <w:t>dnoczonym Królestwie.</w:t>
      </w:r>
    </w:p>
  </w:footnote>
  <w:footnote w:id="27">
    <w:p w:rsidR="005B5E63" w:rsidRDefault="00B858F1">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sz w:val="18"/>
          <w:szCs w:val="18"/>
        </w:rPr>
        <w:t xml:space="preserve"> Chociaż</w:t>
      </w:r>
      <w:r w:rsidR="00BE7466">
        <w:rPr>
          <w:rFonts w:ascii="Calibri" w:hAnsi="Calibri"/>
          <w:sz w:val="18"/>
          <w:szCs w:val="18"/>
        </w:rPr>
        <w:t xml:space="preserve"> w okr</w:t>
      </w:r>
      <w:r>
        <w:rPr>
          <w:rFonts w:ascii="Calibri" w:hAnsi="Calibri"/>
          <w:sz w:val="18"/>
          <w:szCs w:val="18"/>
        </w:rPr>
        <w:t>esie przejściowym Zjednoczone Królestwo nadal stosuje politykę Unii</w:t>
      </w:r>
      <w:r w:rsidR="00BE7466">
        <w:rPr>
          <w:rFonts w:ascii="Calibri" w:hAnsi="Calibri"/>
          <w:sz w:val="18"/>
          <w:szCs w:val="18"/>
        </w:rPr>
        <w:t xml:space="preserve"> w zak</w:t>
      </w:r>
      <w:r>
        <w:rPr>
          <w:rFonts w:ascii="Calibri" w:hAnsi="Calibri"/>
          <w:sz w:val="18"/>
          <w:szCs w:val="18"/>
        </w:rPr>
        <w:t>resie wymiaru sprawiedliwości</w:t>
      </w:r>
      <w:r w:rsidR="00BE7466">
        <w:rPr>
          <w:rFonts w:ascii="Calibri" w:hAnsi="Calibri"/>
          <w:sz w:val="18"/>
          <w:szCs w:val="18"/>
        </w:rPr>
        <w:t xml:space="preserve"> i spr</w:t>
      </w:r>
      <w:r>
        <w:rPr>
          <w:rFonts w:ascii="Calibri" w:hAnsi="Calibri"/>
          <w:sz w:val="18"/>
          <w:szCs w:val="18"/>
        </w:rPr>
        <w:t>aw wewnętrznych, korzystało ono</w:t>
      </w:r>
      <w:r w:rsidR="00BE7466">
        <w:rPr>
          <w:rFonts w:ascii="Calibri" w:hAnsi="Calibri"/>
          <w:sz w:val="18"/>
          <w:szCs w:val="18"/>
        </w:rPr>
        <w:t xml:space="preserve"> z kla</w:t>
      </w:r>
      <w:r>
        <w:rPr>
          <w:rFonts w:ascii="Calibri" w:hAnsi="Calibri"/>
          <w:sz w:val="18"/>
          <w:szCs w:val="18"/>
        </w:rPr>
        <w:t>uzuli</w:t>
      </w:r>
      <w:r>
        <w:rPr>
          <w:rFonts w:ascii="Calibri" w:hAnsi="Calibri"/>
          <w:i/>
          <w:iCs/>
          <w:sz w:val="18"/>
          <w:szCs w:val="18"/>
        </w:rPr>
        <w:t xml:space="preserve"> opt-out</w:t>
      </w:r>
      <w:r w:rsidR="00BE7466">
        <w:rPr>
          <w:rFonts w:ascii="Calibri" w:hAnsi="Calibri"/>
          <w:sz w:val="18"/>
          <w:szCs w:val="18"/>
        </w:rPr>
        <w:t xml:space="preserve"> w tej</w:t>
      </w:r>
      <w:r>
        <w:rPr>
          <w:rFonts w:ascii="Calibri" w:hAnsi="Calibri"/>
          <w:sz w:val="18"/>
          <w:szCs w:val="18"/>
        </w:rPr>
        <w:t xml:space="preserve"> dziedzinie</w:t>
      </w:r>
      <w:r w:rsidR="00BE7466">
        <w:rPr>
          <w:rFonts w:ascii="Calibri" w:hAnsi="Calibri"/>
          <w:sz w:val="18"/>
          <w:szCs w:val="18"/>
        </w:rPr>
        <w:t xml:space="preserve"> i nig</w:t>
      </w:r>
      <w:r>
        <w:rPr>
          <w:rFonts w:ascii="Calibri" w:hAnsi="Calibri"/>
          <w:sz w:val="18"/>
          <w:szCs w:val="18"/>
        </w:rPr>
        <w:t>dy nie zdecydowało się uczestniczyć we wszystkich instrumentach</w:t>
      </w:r>
      <w:r w:rsidR="00BE7466">
        <w:rPr>
          <w:rFonts w:ascii="Calibri" w:hAnsi="Calibri"/>
          <w:sz w:val="18"/>
          <w:szCs w:val="18"/>
        </w:rPr>
        <w:t xml:space="preserve"> w dzi</w:t>
      </w:r>
      <w:r>
        <w:rPr>
          <w:rFonts w:ascii="Calibri" w:hAnsi="Calibri"/>
          <w:sz w:val="18"/>
          <w:szCs w:val="18"/>
        </w:rPr>
        <w:t>edzinie współpracy sądowej</w:t>
      </w:r>
      <w:r w:rsidR="00BE7466">
        <w:rPr>
          <w:rFonts w:ascii="Calibri" w:hAnsi="Calibri"/>
          <w:sz w:val="18"/>
          <w:szCs w:val="18"/>
        </w:rPr>
        <w:t xml:space="preserve"> w spr</w:t>
      </w:r>
      <w:r>
        <w:rPr>
          <w:rFonts w:ascii="Calibri" w:hAnsi="Calibri"/>
          <w:sz w:val="18"/>
          <w:szCs w:val="18"/>
        </w:rPr>
        <w:t>awach cywilnych</w:t>
      </w:r>
      <w:r w:rsidR="00BE7466">
        <w:rPr>
          <w:rFonts w:ascii="Calibri" w:hAnsi="Calibri"/>
          <w:sz w:val="18"/>
          <w:szCs w:val="18"/>
        </w:rPr>
        <w:t xml:space="preserve"> i han</w:t>
      </w:r>
      <w:r>
        <w:rPr>
          <w:rFonts w:ascii="Calibri" w:hAnsi="Calibri"/>
          <w:sz w:val="18"/>
          <w:szCs w:val="18"/>
        </w:rPr>
        <w:t>dlowych.</w:t>
      </w:r>
    </w:p>
  </w:footnote>
  <w:footnote w:id="28">
    <w:p w:rsidR="005B5E63" w:rsidRDefault="00B858F1">
      <w:pPr>
        <w:pStyle w:val="Tekstprzypisudolnego"/>
        <w:rPr>
          <w:sz w:val="18"/>
          <w:szCs w:val="18"/>
        </w:rPr>
      </w:pPr>
      <w:r>
        <w:rPr>
          <w:rStyle w:val="Odwoanieprzypisudolnego"/>
          <w:sz w:val="18"/>
          <w:szCs w:val="18"/>
        </w:rPr>
        <w:footnoteRef/>
      </w:r>
      <w:r>
        <w:rPr>
          <w:sz w:val="18"/>
          <w:szCs w:val="18"/>
        </w:rPr>
        <w:t>Warto również zauważyć, że od dnia 1 stycznia 20</w:t>
      </w:r>
      <w:r w:rsidRPr="00C43387">
        <w:rPr>
          <w:sz w:val="18"/>
          <w:szCs w:val="18"/>
        </w:rPr>
        <w:t>21</w:t>
      </w:r>
      <w:r w:rsidR="00C43387" w:rsidRPr="00C43387">
        <w:rPr>
          <w:sz w:val="18"/>
          <w:szCs w:val="18"/>
        </w:rPr>
        <w:t> </w:t>
      </w:r>
      <w:r w:rsidRPr="00C43387">
        <w:rPr>
          <w:sz w:val="18"/>
          <w:szCs w:val="18"/>
        </w:rPr>
        <w:t>r.</w:t>
      </w:r>
      <w:r>
        <w:rPr>
          <w:sz w:val="18"/>
          <w:szCs w:val="18"/>
        </w:rPr>
        <w:t xml:space="preserve"> unijna platforma internetowego rozstrzygania sporów (ODR) nie będzie już dostępna do celów pozasądowego rozstrzygania sporów między konsumentami zamieszkałymi</w:t>
      </w:r>
      <w:r w:rsidR="00BE7466">
        <w:rPr>
          <w:sz w:val="18"/>
          <w:szCs w:val="18"/>
        </w:rPr>
        <w:t xml:space="preserve"> w</w:t>
      </w:r>
      <w:r w:rsidR="00BE7466">
        <w:rPr>
          <w:rFonts w:ascii="Calibri" w:hAnsi="Calibri" w:cs="Calibri"/>
          <w:sz w:val="18"/>
          <w:szCs w:val="18"/>
        </w:rPr>
        <w:t> </w:t>
      </w:r>
      <w:r w:rsidR="00BE7466">
        <w:rPr>
          <w:sz w:val="18"/>
          <w:szCs w:val="18"/>
        </w:rPr>
        <w:t>Uni</w:t>
      </w:r>
      <w:r>
        <w:rPr>
          <w:sz w:val="18"/>
          <w:szCs w:val="18"/>
        </w:rPr>
        <w:t>i Europejskiej</w:t>
      </w:r>
      <w:r w:rsidR="00BE7466">
        <w:rPr>
          <w:sz w:val="18"/>
          <w:szCs w:val="18"/>
        </w:rPr>
        <w:t xml:space="preserve"> a</w:t>
      </w:r>
      <w:r w:rsidR="00BE7466">
        <w:rPr>
          <w:rFonts w:ascii="Calibri" w:hAnsi="Calibri" w:cs="Calibri"/>
          <w:sz w:val="18"/>
          <w:szCs w:val="18"/>
        </w:rPr>
        <w:t> </w:t>
      </w:r>
      <w:r w:rsidR="00BE7466">
        <w:rPr>
          <w:sz w:val="18"/>
          <w:szCs w:val="18"/>
        </w:rPr>
        <w:t>prz</w:t>
      </w:r>
      <w:r>
        <w:rPr>
          <w:sz w:val="18"/>
          <w:szCs w:val="18"/>
        </w:rPr>
        <w:t>edsiębiorcami mającymi siedzibę</w:t>
      </w:r>
      <w:r w:rsidR="00BE7466">
        <w:rPr>
          <w:sz w:val="18"/>
          <w:szCs w:val="18"/>
        </w:rPr>
        <w:t xml:space="preserve"> w</w:t>
      </w:r>
      <w:r w:rsidR="00BE7466">
        <w:rPr>
          <w:rFonts w:ascii="Calibri" w:hAnsi="Calibri" w:cs="Calibri"/>
          <w:sz w:val="18"/>
          <w:szCs w:val="18"/>
        </w:rPr>
        <w:t> </w:t>
      </w:r>
      <w:r w:rsidR="00BE7466">
        <w:rPr>
          <w:sz w:val="18"/>
          <w:szCs w:val="18"/>
        </w:rPr>
        <w:t>Zje</w:t>
      </w:r>
      <w:r>
        <w:rPr>
          <w:sz w:val="18"/>
          <w:szCs w:val="18"/>
        </w:rPr>
        <w:t xml:space="preserve">dnoczonym Królestwie. </w:t>
      </w:r>
    </w:p>
  </w:footnote>
  <w:footnote w:id="29">
    <w:p w:rsidR="005B5E63" w:rsidRDefault="00B858F1">
      <w:pPr>
        <w:pStyle w:val="Tekstprzypisudolnego"/>
        <w:spacing w:after="60"/>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Na podstawie </w:t>
      </w:r>
      <w:r w:rsidRPr="00C43387">
        <w:rPr>
          <w:rFonts w:asciiTheme="minorHAnsi" w:hAnsiTheme="minorHAnsi"/>
          <w:sz w:val="18"/>
          <w:szCs w:val="18"/>
        </w:rPr>
        <w:t>art.</w:t>
      </w:r>
      <w:r w:rsidR="00C43387" w:rsidRPr="00C43387">
        <w:rPr>
          <w:rFonts w:asciiTheme="minorHAnsi" w:hAnsiTheme="minorHAnsi"/>
          <w:sz w:val="18"/>
          <w:szCs w:val="18"/>
        </w:rPr>
        <w:t> </w:t>
      </w:r>
      <w:r w:rsidRPr="00C43387">
        <w:rPr>
          <w:rFonts w:asciiTheme="minorHAnsi" w:hAnsiTheme="minorHAnsi"/>
          <w:sz w:val="18"/>
          <w:szCs w:val="18"/>
        </w:rPr>
        <w:t>5</w:t>
      </w:r>
      <w:r>
        <w:rPr>
          <w:rFonts w:asciiTheme="minorHAnsi" w:hAnsiTheme="minorHAnsi"/>
          <w:sz w:val="18"/>
          <w:szCs w:val="18"/>
        </w:rPr>
        <w:t>4</w:t>
      </w:r>
      <w:r w:rsidR="00BE7466">
        <w:rPr>
          <w:rFonts w:asciiTheme="minorHAnsi" w:hAnsiTheme="minorHAnsi"/>
          <w:sz w:val="18"/>
          <w:szCs w:val="18"/>
        </w:rPr>
        <w:t xml:space="preserve"> i 5</w:t>
      </w:r>
      <w:r>
        <w:rPr>
          <w:rFonts w:asciiTheme="minorHAnsi" w:hAnsiTheme="minorHAnsi"/>
          <w:sz w:val="18"/>
          <w:szCs w:val="18"/>
        </w:rPr>
        <w:t>7 umowy</w:t>
      </w:r>
      <w:r w:rsidR="00BE7466">
        <w:rPr>
          <w:rFonts w:asciiTheme="minorHAnsi" w:hAnsiTheme="minorHAnsi"/>
          <w:sz w:val="18"/>
          <w:szCs w:val="18"/>
        </w:rPr>
        <w:t xml:space="preserve"> o wys</w:t>
      </w:r>
      <w:r>
        <w:rPr>
          <w:rFonts w:asciiTheme="minorHAnsi" w:hAnsiTheme="minorHAnsi"/>
          <w:sz w:val="18"/>
          <w:szCs w:val="18"/>
        </w:rPr>
        <w:t>tąpieniu istniejące jednolite prawa zostaną przekształcone</w:t>
      </w:r>
      <w:r w:rsidR="00BE7466">
        <w:rPr>
          <w:rFonts w:asciiTheme="minorHAnsi" w:hAnsiTheme="minorHAnsi"/>
          <w:sz w:val="18"/>
          <w:szCs w:val="18"/>
        </w:rPr>
        <w:t xml:space="preserve"> w pra</w:t>
      </w:r>
      <w:r>
        <w:rPr>
          <w:rFonts w:asciiTheme="minorHAnsi" w:hAnsiTheme="minorHAnsi"/>
          <w:sz w:val="18"/>
          <w:szCs w:val="18"/>
        </w:rPr>
        <w:t>wa Zjednoczonego Królestwa</w:t>
      </w:r>
      <w:r w:rsidR="00BE7466">
        <w:rPr>
          <w:rFonts w:asciiTheme="minorHAnsi" w:hAnsiTheme="minorHAnsi"/>
          <w:sz w:val="18"/>
          <w:szCs w:val="18"/>
        </w:rPr>
        <w:t xml:space="preserve"> i w ten</w:t>
      </w:r>
      <w:r>
        <w:rPr>
          <w:rFonts w:asciiTheme="minorHAnsi" w:hAnsiTheme="minorHAnsi"/>
          <w:sz w:val="18"/>
          <w:szCs w:val="18"/>
        </w:rPr>
        <w:t xml:space="preserve"> sposób nadal będą chronione</w:t>
      </w:r>
      <w:r w:rsidR="00BE7466">
        <w:rPr>
          <w:rFonts w:asciiTheme="minorHAnsi" w:hAnsiTheme="minorHAnsi"/>
          <w:sz w:val="18"/>
          <w:szCs w:val="18"/>
        </w:rPr>
        <w:t xml:space="preserve"> w Zje</w:t>
      </w:r>
      <w:r>
        <w:rPr>
          <w:rFonts w:asciiTheme="minorHAnsi" w:hAnsiTheme="minorHAnsi"/>
          <w:sz w:val="18"/>
          <w:szCs w:val="18"/>
        </w:rPr>
        <w:t>dnoczonym Królestwie.</w:t>
      </w:r>
    </w:p>
  </w:footnote>
  <w:footnote w:id="30">
    <w:p w:rsidR="005B5E63" w:rsidRDefault="00B858F1">
      <w:pPr>
        <w:pStyle w:val="Tekstprzypisudolnego"/>
        <w:spacing w:after="60"/>
        <w:jc w:val="both"/>
        <w:rPr>
          <w:rFonts w:asciiTheme="minorHAnsi" w:hAnsiTheme="minorHAnsi" w:cstheme="minorHAnsi"/>
          <w:sz w:val="18"/>
          <w:szCs w:val="18"/>
        </w:rPr>
      </w:pPr>
      <w:r>
        <w:rPr>
          <w:rStyle w:val="Odwoanieprzypisudolnego"/>
          <w:rFonts w:ascii="Calibri" w:hAnsi="Calibri" w:cs="Calibri"/>
          <w:sz w:val="18"/>
          <w:szCs w:val="18"/>
        </w:rPr>
        <w:footnoteRef/>
      </w:r>
      <w:r>
        <w:rPr>
          <w:rFonts w:ascii="Calibri" w:hAnsi="Calibri"/>
          <w:sz w:val="18"/>
          <w:szCs w:val="18"/>
        </w:rPr>
        <w:t>Rozporządzenie (UE) 2016/679,</w:t>
      </w:r>
      <w:hyperlink r:id="rId2" w:history="1">
        <w:r>
          <w:rPr>
            <w:rStyle w:val="Hipercze"/>
            <w:rFonts w:asciiTheme="minorHAnsi" w:hAnsiTheme="minorHAnsi"/>
            <w:sz w:val="18"/>
            <w:szCs w:val="18"/>
          </w:rPr>
          <w:t>https://eur-lex.europa.eu/legal-content/PL/TXT/?uri=CELEX:02016R0679-20160504</w:t>
        </w:r>
      </w:hyperlink>
    </w:p>
  </w:footnote>
  <w:footnote w:id="31">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Dyrektywa (UE) 2016/680, </w:t>
      </w:r>
      <w:hyperlink r:id="rId3" w:history="1">
        <w:r>
          <w:rPr>
            <w:rStyle w:val="Hipercze"/>
            <w:rFonts w:asciiTheme="minorHAnsi" w:hAnsiTheme="minorHAnsi"/>
            <w:sz w:val="18"/>
            <w:szCs w:val="18"/>
          </w:rPr>
          <w:t>https://eur-lex.europa.eu/legal-content/PL/TXT/?uri=CELEX:02016L0680-20160504</w:t>
        </w:r>
      </w:hyperlink>
      <w:r>
        <w:rPr>
          <w:rFonts w:asciiTheme="minorHAnsi" w:hAnsiTheme="minorHAnsi"/>
          <w:sz w:val="18"/>
          <w:szCs w:val="18"/>
        </w:rPr>
        <w:t xml:space="preserve"> </w:t>
      </w:r>
    </w:p>
  </w:footnote>
  <w:footnote w:id="32">
    <w:p w:rsidR="005B5E63" w:rsidRDefault="00B858F1">
      <w:pPr>
        <w:pStyle w:val="Tekstprzypisudolnego"/>
        <w:jc w:val="both"/>
        <w:rPr>
          <w:rFonts w:ascii="Calibri" w:hAnsi="Calibri" w:cs="Calibri"/>
          <w:sz w:val="18"/>
          <w:szCs w:val="18"/>
        </w:rPr>
      </w:pPr>
      <w:r>
        <w:rPr>
          <w:rStyle w:val="Odwoanieprzypisudolnego"/>
          <w:rFonts w:ascii="Calibri" w:hAnsi="Calibri" w:cs="Calibri"/>
          <w:sz w:val="18"/>
          <w:szCs w:val="18"/>
        </w:rPr>
        <w:footnoteRef/>
      </w:r>
      <w:r>
        <w:t xml:space="preserve"> </w:t>
      </w:r>
      <w:r>
        <w:rPr>
          <w:rFonts w:ascii="Calibri" w:hAnsi="Calibri"/>
          <w:sz w:val="18"/>
          <w:szCs w:val="18"/>
        </w:rPr>
        <w:t>Zob. część I.I.B pt. „Ochrona danych” zmienionego tekstu deklaracji politycznej określającej ramy przyszłych stosunków między Unią Europejską</w:t>
      </w:r>
      <w:r w:rsidR="00BE7466">
        <w:rPr>
          <w:rFonts w:ascii="Calibri" w:hAnsi="Calibri"/>
          <w:sz w:val="18"/>
          <w:szCs w:val="18"/>
        </w:rPr>
        <w:t xml:space="preserve"> a Zje</w:t>
      </w:r>
      <w:r>
        <w:rPr>
          <w:rFonts w:ascii="Calibri" w:hAnsi="Calibri"/>
          <w:sz w:val="18"/>
          <w:szCs w:val="18"/>
        </w:rPr>
        <w:t>dnoczonym Królestwem, uzgodnionego przez negocjatorów</w:t>
      </w:r>
      <w:r w:rsidR="00BE7466">
        <w:rPr>
          <w:rFonts w:ascii="Calibri" w:hAnsi="Calibri"/>
          <w:sz w:val="18"/>
          <w:szCs w:val="18"/>
        </w:rPr>
        <w:t xml:space="preserve"> w dni</w:t>
      </w:r>
      <w:r>
        <w:rPr>
          <w:rFonts w:ascii="Calibri" w:hAnsi="Calibri"/>
          <w:sz w:val="18"/>
          <w:szCs w:val="18"/>
        </w:rPr>
        <w:t>u 17 października 20</w:t>
      </w:r>
      <w:r w:rsidRPr="00C43387">
        <w:rPr>
          <w:rFonts w:ascii="Calibri" w:hAnsi="Calibri"/>
          <w:sz w:val="18"/>
          <w:szCs w:val="18"/>
        </w:rPr>
        <w:t>19</w:t>
      </w:r>
      <w:r w:rsidR="00C43387" w:rsidRPr="00C43387">
        <w:rPr>
          <w:rFonts w:ascii="Calibri" w:hAnsi="Calibri"/>
          <w:sz w:val="18"/>
          <w:szCs w:val="18"/>
        </w:rPr>
        <w:t> </w:t>
      </w:r>
      <w:r w:rsidRPr="00C43387">
        <w:rPr>
          <w:rFonts w:ascii="Calibri" w:hAnsi="Calibri"/>
          <w:sz w:val="18"/>
          <w:szCs w:val="18"/>
        </w:rPr>
        <w:t>r.</w:t>
      </w:r>
      <w:r>
        <w:rPr>
          <w:rFonts w:ascii="Calibri" w:hAnsi="Calibri"/>
          <w:sz w:val="18"/>
          <w:szCs w:val="18"/>
        </w:rPr>
        <w:t>, Dz.U. C 34</w:t>
      </w:r>
      <w:r w:rsidR="00BE7466">
        <w:rPr>
          <w:rFonts w:ascii="Calibri" w:hAnsi="Calibri"/>
          <w:sz w:val="18"/>
          <w:szCs w:val="18"/>
        </w:rPr>
        <w:t xml:space="preserve"> z 3</w:t>
      </w:r>
      <w:r>
        <w:rPr>
          <w:rFonts w:ascii="Calibri" w:hAnsi="Calibri"/>
          <w:sz w:val="18"/>
          <w:szCs w:val="18"/>
        </w:rPr>
        <w:t>1.1.2020, s. 1.</w:t>
      </w:r>
    </w:p>
  </w:footnote>
  <w:footnote w:id="33">
    <w:p w:rsidR="005B5E63" w:rsidRDefault="00B858F1">
      <w:pPr>
        <w:pStyle w:val="Tekstprzypisudolnego"/>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Wycofana nazwa domeny przestaje funkcjonować. Nie można jej już wykorzystywać do obsługi żadnych aktywnych usług, takich jak strony internetowe lub wiadomości e-mail.</w:t>
      </w:r>
    </w:p>
  </w:footnote>
  <w:footnote w:id="34">
    <w:p w:rsidR="005B5E63" w:rsidRDefault="00B858F1">
      <w:pPr>
        <w:pStyle w:val="Tekstprzypisudolnego"/>
        <w:spacing w:after="60"/>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sz w:val="18"/>
          <w:szCs w:val="18"/>
        </w:rPr>
        <w:t xml:space="preserve"> </w:t>
      </w:r>
      <w:hyperlink r:id="rId4" w:history="1">
        <w:r>
          <w:rPr>
            <w:rStyle w:val="Hipercze"/>
            <w:rFonts w:asciiTheme="minorHAnsi" w:hAnsiTheme="minorHAnsi"/>
            <w:sz w:val="18"/>
            <w:szCs w:val="18"/>
          </w:rPr>
          <w:t>https://ec.europa.eu/info/sites/info/files/model-note-verbale-international-partners_en.pdf</w:t>
        </w:r>
      </w:hyperlink>
      <w:r>
        <w:rPr>
          <w:rFonts w:asciiTheme="minorHAnsi" w:hAnsiTheme="minorHAnsi"/>
          <w:sz w:val="18"/>
          <w:szCs w:val="18"/>
        </w:rPr>
        <w:t xml:space="preserve"> </w:t>
      </w:r>
    </w:p>
  </w:footnote>
  <w:footnote w:id="35">
    <w:p w:rsidR="005B5E63" w:rsidRDefault="00B858F1">
      <w:pPr>
        <w:pStyle w:val="Tekstprzypisudolnego"/>
      </w:pPr>
      <w:r>
        <w:rPr>
          <w:rStyle w:val="Odwoanieprzypisudolnego"/>
        </w:rPr>
        <w:footnoteRef/>
      </w:r>
      <w:r>
        <w:t xml:space="preserve"> Zjednoczone Królestwo opublikowało informacje na temat swojej nowej globalnej taryfy, która będzie miała zastosowanie od dnia 1 stycznia 20</w:t>
      </w:r>
      <w:r w:rsidRPr="00C43387">
        <w:t>21</w:t>
      </w:r>
      <w:r w:rsidR="00C43387" w:rsidRPr="00C43387">
        <w:t> </w:t>
      </w:r>
      <w:r w:rsidRPr="00C43387">
        <w:t>r.</w:t>
      </w:r>
      <w:r>
        <w:t xml:space="preserve"> również</w:t>
      </w:r>
      <w:r w:rsidR="00BE7466">
        <w:t xml:space="preserve"> w</w:t>
      </w:r>
      <w:r w:rsidR="00BE7466">
        <w:rPr>
          <w:rFonts w:ascii="Calibri" w:hAnsi="Calibri" w:cs="Calibri"/>
        </w:rPr>
        <w:t> </w:t>
      </w:r>
      <w:r w:rsidR="00BE7466">
        <w:t>odn</w:t>
      </w:r>
      <w:r>
        <w:t>iesieniu do unijnych towarów</w:t>
      </w:r>
      <w:r w:rsidR="00BE7466">
        <w:t xml:space="preserve"> w</w:t>
      </w:r>
      <w:r w:rsidR="00BE7466">
        <w:rPr>
          <w:rFonts w:ascii="Calibri" w:hAnsi="Calibri" w:cs="Calibri"/>
        </w:rPr>
        <w:t> </w:t>
      </w:r>
      <w:r w:rsidR="00BE7466">
        <w:t>prz</w:t>
      </w:r>
      <w:r>
        <w:t>ypadku braku porozumienia</w:t>
      </w:r>
      <w:r w:rsidR="00BE7466">
        <w:t xml:space="preserve"> w</w:t>
      </w:r>
      <w:r w:rsidR="00BE7466">
        <w:rPr>
          <w:rFonts w:ascii="Calibri" w:hAnsi="Calibri" w:cs="Calibri"/>
        </w:rPr>
        <w:t> </w:t>
      </w:r>
      <w:r w:rsidR="00BE7466">
        <w:t>spr</w:t>
      </w:r>
      <w:r>
        <w:t>awie przyszłych stosunków między UE</w:t>
      </w:r>
      <w:r w:rsidR="00BE7466">
        <w:t xml:space="preserve"> a</w:t>
      </w:r>
      <w:r w:rsidR="00BE7466">
        <w:rPr>
          <w:rFonts w:ascii="Calibri" w:hAnsi="Calibri" w:cs="Calibri"/>
        </w:rPr>
        <w:t> </w:t>
      </w:r>
      <w:r w:rsidR="00BE7466">
        <w:t>Zje</w:t>
      </w:r>
      <w:r>
        <w:t xml:space="preserve">dnoczonym Królestwem. </w:t>
      </w:r>
      <w:hyperlink r:id="rId5" w:history="1">
        <w:r>
          <w:rPr>
            <w:rStyle w:val="Hipercze"/>
          </w:rPr>
          <w:t>https://www.gov.uk/guidance/uk-tariffs-from-1-january-2021</w:t>
        </w:r>
      </w:hyperlink>
    </w:p>
    <w:p w:rsidR="005B5E63" w:rsidRDefault="005B5E63">
      <w:pPr>
        <w:pStyle w:val="Tekstprzypisudolnego"/>
      </w:pPr>
    </w:p>
  </w:footnote>
  <w:footnote w:id="36">
    <w:p w:rsidR="005B5E63" w:rsidRDefault="00B858F1">
      <w:pPr>
        <w:pStyle w:val="Tekstprzypisudolnego"/>
        <w:rPr>
          <w:rFonts w:asciiTheme="minorHAnsi" w:hAnsiTheme="minorHAnsi" w:cstheme="minorHAnsi"/>
          <w:sz w:val="18"/>
        </w:rPr>
      </w:pPr>
      <w:r>
        <w:rPr>
          <w:rStyle w:val="Odwoanieprzypisudolnego"/>
          <w:sz w:val="18"/>
        </w:rPr>
        <w:footnoteRef/>
      </w:r>
      <w:r>
        <w:rPr>
          <w:sz w:val="18"/>
        </w:rPr>
        <w:t xml:space="preserve"> </w:t>
      </w:r>
      <w:r>
        <w:rPr>
          <w:rFonts w:asciiTheme="minorHAnsi" w:hAnsiTheme="minorHAnsi"/>
          <w:sz w:val="18"/>
        </w:rPr>
        <w:t>Szczegółowe informacje można znaleźć</w:t>
      </w:r>
      <w:r w:rsidR="00BE7466">
        <w:rPr>
          <w:rFonts w:asciiTheme="minorHAnsi" w:hAnsiTheme="minorHAnsi"/>
          <w:sz w:val="18"/>
        </w:rPr>
        <w:t xml:space="preserve"> w wyt</w:t>
      </w:r>
      <w:r>
        <w:rPr>
          <w:rFonts w:asciiTheme="minorHAnsi" w:hAnsiTheme="minorHAnsi"/>
          <w:sz w:val="18"/>
        </w:rPr>
        <w:t>ycznych Komisji (2020/C 173/01) dotyczących części drugiej umowy</w:t>
      </w:r>
      <w:r w:rsidR="00BE7466">
        <w:rPr>
          <w:rFonts w:asciiTheme="minorHAnsi" w:hAnsiTheme="minorHAnsi"/>
          <w:sz w:val="18"/>
        </w:rPr>
        <w:t xml:space="preserve"> o wys</w:t>
      </w:r>
      <w:r>
        <w:rPr>
          <w:rFonts w:asciiTheme="minorHAnsi" w:hAnsiTheme="minorHAnsi"/>
          <w:sz w:val="18"/>
        </w:rPr>
        <w:t>tąpieniu</w:t>
      </w:r>
    </w:p>
    <w:p w:rsidR="005B5E63" w:rsidRDefault="00595895">
      <w:pPr>
        <w:pStyle w:val="Tekstprzypisudolnego"/>
        <w:rPr>
          <w:sz w:val="18"/>
        </w:rPr>
      </w:pPr>
      <w:hyperlink r:id="rId6" w:history="1">
        <w:r w:rsidR="00B858F1">
          <w:rPr>
            <w:rStyle w:val="Hipercze"/>
            <w:rFonts w:asciiTheme="minorHAnsi" w:hAnsiTheme="minorHAnsi"/>
            <w:sz w:val="18"/>
          </w:rPr>
          <w:t>https://eur-lex.europa.eu/legal-content/PL/TXT/PDF/?uri=CELEX:52020XC0520(05)&amp;from=PL</w:t>
        </w:r>
      </w:hyperlink>
      <w:r w:rsidR="00B858F1">
        <w:rPr>
          <w:rFonts w:asciiTheme="minorHAnsi" w:hAnsiTheme="minorHAnsi"/>
          <w:sz w:val="18"/>
        </w:rPr>
        <w:t xml:space="preserve"> </w:t>
      </w:r>
    </w:p>
    <w:p w:rsidR="005B5E63" w:rsidRDefault="005B5E63">
      <w:pPr>
        <w:pStyle w:val="Tekstprzypisudolnego"/>
      </w:pPr>
    </w:p>
  </w:footnote>
  <w:footnote w:id="37">
    <w:p w:rsidR="005B5E63" w:rsidRPr="00C43387" w:rsidRDefault="00B858F1">
      <w:pPr>
        <w:pStyle w:val="Tekstprzypisudolnego"/>
        <w:jc w:val="both"/>
      </w:pPr>
      <w:r>
        <w:rPr>
          <w:rStyle w:val="Odwoanieprzypisudolnego"/>
        </w:rPr>
        <w:footnoteRef/>
      </w:r>
      <w:r>
        <w:t xml:space="preserve"> </w:t>
      </w:r>
      <w:r>
        <w:rPr>
          <w:rFonts w:asciiTheme="minorHAnsi" w:hAnsiTheme="minorHAnsi"/>
          <w:sz w:val="18"/>
        </w:rPr>
        <w:t>Art. 138 umowy</w:t>
      </w:r>
      <w:r w:rsidR="00BE7466">
        <w:rPr>
          <w:rFonts w:asciiTheme="minorHAnsi" w:hAnsiTheme="minorHAnsi"/>
          <w:sz w:val="18"/>
        </w:rPr>
        <w:t xml:space="preserve"> o wys</w:t>
      </w:r>
      <w:r>
        <w:rPr>
          <w:rFonts w:asciiTheme="minorHAnsi" w:hAnsiTheme="minorHAnsi"/>
          <w:sz w:val="18"/>
        </w:rPr>
        <w:t>tąpieniu stanowi, że</w:t>
      </w:r>
      <w:r w:rsidR="00BE7466">
        <w:rPr>
          <w:rFonts w:asciiTheme="minorHAnsi" w:hAnsiTheme="minorHAnsi"/>
          <w:sz w:val="18"/>
        </w:rPr>
        <w:t xml:space="preserve"> w odn</w:t>
      </w:r>
      <w:r>
        <w:rPr>
          <w:rFonts w:asciiTheme="minorHAnsi" w:hAnsiTheme="minorHAnsi"/>
          <w:sz w:val="18"/>
        </w:rPr>
        <w:t>iesieniu do realizacji programów</w:t>
      </w:r>
      <w:r w:rsidR="00BE7466">
        <w:rPr>
          <w:rFonts w:asciiTheme="minorHAnsi" w:hAnsiTheme="minorHAnsi"/>
          <w:sz w:val="18"/>
        </w:rPr>
        <w:t xml:space="preserve"> i dzi</w:t>
      </w:r>
      <w:r>
        <w:rPr>
          <w:rFonts w:asciiTheme="minorHAnsi" w:hAnsiTheme="minorHAnsi"/>
          <w:sz w:val="18"/>
        </w:rPr>
        <w:t>ałań Unii, na które przeznaczono środki zgodnie z WRF 2014–2020 lub poprzednią perspektywą finansową, mające zastosowanie prawo Unii nadal ma zastosowanie do Zjednoczonego Królestwa po dniu 31 grudnia 20</w:t>
      </w:r>
      <w:r w:rsidRPr="00C43387">
        <w:rPr>
          <w:rFonts w:asciiTheme="minorHAnsi" w:hAnsiTheme="minorHAnsi"/>
          <w:sz w:val="18"/>
        </w:rPr>
        <w:t>20</w:t>
      </w:r>
      <w:r w:rsidR="00C43387" w:rsidRPr="00C43387">
        <w:rPr>
          <w:rFonts w:asciiTheme="minorHAnsi" w:hAnsiTheme="minorHAnsi"/>
          <w:sz w:val="18"/>
        </w:rPr>
        <w:t> </w:t>
      </w:r>
      <w:r w:rsidRPr="00C43387">
        <w:rPr>
          <w:rFonts w:asciiTheme="minorHAnsi" w:hAnsiTheme="minorHAnsi"/>
          <w:sz w:val="18"/>
        </w:rPr>
        <w:t>r.</w:t>
      </w:r>
      <w:r>
        <w:rPr>
          <w:rFonts w:asciiTheme="minorHAnsi" w:hAnsiTheme="minorHAnsi"/>
          <w:sz w:val="18"/>
        </w:rPr>
        <w:t>, aż do zamknięcia tych programów</w:t>
      </w:r>
      <w:r w:rsidR="00BE7466">
        <w:rPr>
          <w:rFonts w:asciiTheme="minorHAnsi" w:hAnsiTheme="minorHAnsi"/>
          <w:sz w:val="18"/>
        </w:rPr>
        <w:t xml:space="preserve"> i dzi</w:t>
      </w:r>
      <w:r>
        <w:rPr>
          <w:rFonts w:asciiTheme="minorHAnsi" w:hAnsiTheme="minorHAnsi"/>
          <w:sz w:val="18"/>
        </w:rPr>
        <w:t>ałań Unii. Udział Zjednoczonego Królestwa</w:t>
      </w:r>
      <w:r w:rsidR="00BE7466">
        <w:rPr>
          <w:rFonts w:asciiTheme="minorHAnsi" w:hAnsiTheme="minorHAnsi"/>
          <w:sz w:val="18"/>
        </w:rPr>
        <w:t xml:space="preserve"> w prz</w:t>
      </w:r>
      <w:r>
        <w:rPr>
          <w:rFonts w:asciiTheme="minorHAnsi" w:hAnsiTheme="minorHAnsi"/>
          <w:sz w:val="18"/>
        </w:rPr>
        <w:t>yszłych programach zależy od nowej umowy</w:t>
      </w:r>
      <w:r w:rsidR="00BE7466">
        <w:rPr>
          <w:rFonts w:asciiTheme="minorHAnsi" w:hAnsiTheme="minorHAnsi"/>
          <w:sz w:val="18"/>
        </w:rPr>
        <w:t xml:space="preserve"> o par</w:t>
      </w:r>
      <w:r>
        <w:rPr>
          <w:rFonts w:asciiTheme="minorHAnsi" w:hAnsiTheme="minorHAnsi"/>
          <w:sz w:val="18"/>
        </w:rPr>
        <w:t>tnerstwie, chyba że</w:t>
      </w:r>
      <w:r w:rsidR="00BE7466">
        <w:rPr>
          <w:rFonts w:asciiTheme="minorHAnsi" w:hAnsiTheme="minorHAnsi"/>
          <w:sz w:val="18"/>
        </w:rPr>
        <w:t xml:space="preserve"> w pro</w:t>
      </w:r>
      <w:r>
        <w:rPr>
          <w:rFonts w:asciiTheme="minorHAnsi" w:hAnsiTheme="minorHAnsi"/>
          <w:sz w:val="18"/>
        </w:rPr>
        <w:t>gramie</w:t>
      </w:r>
      <w:r w:rsidR="00BE7466">
        <w:rPr>
          <w:rFonts w:asciiTheme="minorHAnsi" w:hAnsiTheme="minorHAnsi"/>
          <w:sz w:val="18"/>
        </w:rPr>
        <w:t xml:space="preserve"> w dro</w:t>
      </w:r>
      <w:r>
        <w:rPr>
          <w:rFonts w:asciiTheme="minorHAnsi" w:hAnsiTheme="minorHAnsi"/>
          <w:sz w:val="18"/>
        </w:rPr>
        <w:t>dze wyjątku dopuszczono udział państw trzecich</w:t>
      </w:r>
      <w:r w:rsidR="00BE7466">
        <w:rPr>
          <w:rFonts w:asciiTheme="minorHAnsi" w:hAnsiTheme="minorHAnsi"/>
          <w:sz w:val="18"/>
        </w:rPr>
        <w:t xml:space="preserve"> i ich</w:t>
      </w:r>
      <w:r>
        <w:rPr>
          <w:rFonts w:asciiTheme="minorHAnsi" w:hAnsiTheme="minorHAnsi"/>
          <w:sz w:val="18"/>
        </w:rPr>
        <w:t xml:space="preserve"> podmiotów bez konieczności zawierania umowy</w:t>
      </w:r>
      <w:r w:rsidRPr="00C43387">
        <w:rPr>
          <w:rFonts w:asciiTheme="minorHAnsi" w:hAnsiTheme="minorHAnsi"/>
          <w:sz w:val="18"/>
        </w:rPr>
        <w:t>.</w:t>
      </w:r>
      <w:r w:rsidR="00C43387" w:rsidRPr="00C43387">
        <w:t xml:space="preserve"> </w:t>
      </w:r>
    </w:p>
  </w:footnote>
  <w:footnote w:id="38">
    <w:p w:rsidR="005B5E63" w:rsidRDefault="00B858F1">
      <w:pPr>
        <w:pStyle w:val="Tekstprzypisudolnego"/>
        <w:spacing w:after="60"/>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sz w:val="18"/>
          <w:szCs w:val="18"/>
        </w:rPr>
        <w:t xml:space="preserve"> </w:t>
      </w:r>
      <w:hyperlink r:id="rId7" w:history="1">
        <w:r>
          <w:rPr>
            <w:rStyle w:val="Hipercze"/>
            <w:rFonts w:ascii="Calibri" w:hAnsi="Calibri"/>
            <w:sz w:val="18"/>
            <w:szCs w:val="18"/>
          </w:rPr>
          <w:t>https://www.consilium.europa.eu/media/42736/st05870-ad01re03-en20.pdf</w:t>
        </w:r>
      </w:hyperlink>
    </w:p>
  </w:footnote>
  <w:footnote w:id="39">
    <w:p w:rsidR="005B5E63" w:rsidRDefault="00B858F1">
      <w:pPr>
        <w:pStyle w:val="Tekstprzypisudolnego"/>
        <w:spacing w:after="60"/>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sz w:val="18"/>
          <w:szCs w:val="18"/>
        </w:rPr>
        <w:t xml:space="preserve"> Projekt tekstu umowy</w:t>
      </w:r>
      <w:r w:rsidR="00BE7466">
        <w:rPr>
          <w:rFonts w:ascii="Calibri" w:hAnsi="Calibri"/>
          <w:sz w:val="18"/>
          <w:szCs w:val="18"/>
        </w:rPr>
        <w:t xml:space="preserve"> w spr</w:t>
      </w:r>
      <w:r>
        <w:rPr>
          <w:rFonts w:ascii="Calibri" w:hAnsi="Calibri"/>
          <w:sz w:val="18"/>
          <w:szCs w:val="18"/>
        </w:rPr>
        <w:t>awie nowego partnerstwa między Unią Europejską</w:t>
      </w:r>
      <w:r w:rsidR="00BE7466">
        <w:rPr>
          <w:rFonts w:ascii="Calibri" w:hAnsi="Calibri"/>
          <w:sz w:val="18"/>
          <w:szCs w:val="18"/>
        </w:rPr>
        <w:t xml:space="preserve"> a Zje</w:t>
      </w:r>
      <w:r>
        <w:rPr>
          <w:rFonts w:ascii="Calibri" w:hAnsi="Calibri"/>
          <w:sz w:val="18"/>
          <w:szCs w:val="18"/>
        </w:rPr>
        <w:t>dnoczonym Królestwem, opublikowany dnia 17 marca 20</w:t>
      </w:r>
      <w:r w:rsidRPr="00C43387">
        <w:rPr>
          <w:rFonts w:ascii="Calibri" w:hAnsi="Calibri"/>
          <w:sz w:val="18"/>
          <w:szCs w:val="18"/>
        </w:rPr>
        <w:t>20</w:t>
      </w:r>
      <w:r w:rsidR="00C43387" w:rsidRPr="00C43387">
        <w:rPr>
          <w:rFonts w:ascii="Calibri" w:hAnsi="Calibri"/>
          <w:sz w:val="18"/>
          <w:szCs w:val="18"/>
        </w:rPr>
        <w:t> </w:t>
      </w:r>
      <w:r w:rsidRPr="00C43387">
        <w:rPr>
          <w:rFonts w:ascii="Calibri" w:hAnsi="Calibri"/>
          <w:sz w:val="18"/>
          <w:szCs w:val="18"/>
        </w:rPr>
        <w:t>r.</w:t>
      </w:r>
      <w:r>
        <w:rPr>
          <w:rFonts w:ascii="Calibri" w:hAnsi="Calibri"/>
          <w:sz w:val="18"/>
          <w:szCs w:val="18"/>
        </w:rPr>
        <w:t xml:space="preserve">, zob.: </w:t>
      </w:r>
      <w:hyperlink r:id="rId8" w:history="1">
        <w:r>
          <w:rPr>
            <w:rStyle w:val="Hipercze"/>
            <w:rFonts w:ascii="Calibri" w:hAnsi="Calibri"/>
            <w:sz w:val="18"/>
            <w:szCs w:val="18"/>
          </w:rPr>
          <w:t>https://ec.europa.eu/info/publications/draft-text-agreement-new-partnership-united-kingdom_en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63" w:rsidRDefault="005B5E6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63" w:rsidRDefault="005B5E6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63" w:rsidRDefault="005B5E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1D0A"/>
    <w:multiLevelType w:val="hybridMultilevel"/>
    <w:tmpl w:val="BC28EDB6"/>
    <w:lvl w:ilvl="0" w:tplc="F5B25DF4">
      <w:numFmt w:val="bullet"/>
      <w:lvlText w:val="-"/>
      <w:lvlJc w:val="left"/>
      <w:pPr>
        <w:ind w:left="360" w:hanging="360"/>
      </w:pPr>
      <w:rPr>
        <w:rFonts w:ascii="EC Square Sans Pro" w:eastAsiaTheme="minorHAnsi" w:hAnsi="EC Square Sans Pro"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1E5F72"/>
    <w:multiLevelType w:val="hybridMultilevel"/>
    <w:tmpl w:val="C506343E"/>
    <w:lvl w:ilvl="0" w:tplc="E5E28B5E">
      <w:start w:val="1"/>
      <w:numFmt w:val="upperLetter"/>
      <w:pStyle w:val="Tytu"/>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5622A"/>
    <w:multiLevelType w:val="hybridMultilevel"/>
    <w:tmpl w:val="85CA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7D73A9"/>
    <w:multiLevelType w:val="hybridMultilevel"/>
    <w:tmpl w:val="B2BC6994"/>
    <w:lvl w:ilvl="0" w:tplc="EF2ACDB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nsid w:val="16C53011"/>
    <w:multiLevelType w:val="hybridMultilevel"/>
    <w:tmpl w:val="773A6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9E4152"/>
    <w:multiLevelType w:val="hybridMultilevel"/>
    <w:tmpl w:val="35F42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757F12"/>
    <w:multiLevelType w:val="hybridMultilevel"/>
    <w:tmpl w:val="76507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F55BC6"/>
    <w:multiLevelType w:val="multilevel"/>
    <w:tmpl w:val="FA7E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D46898"/>
    <w:multiLevelType w:val="hybridMultilevel"/>
    <w:tmpl w:val="C8E4723A"/>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B33B45"/>
    <w:multiLevelType w:val="hybridMultilevel"/>
    <w:tmpl w:val="F53A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5F641D"/>
    <w:multiLevelType w:val="hybridMultilevel"/>
    <w:tmpl w:val="FE5E24B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8D2FB7"/>
    <w:multiLevelType w:val="multilevel"/>
    <w:tmpl w:val="8F3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47414"/>
    <w:multiLevelType w:val="multilevel"/>
    <w:tmpl w:val="F54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64272D"/>
    <w:multiLevelType w:val="hybridMultilevel"/>
    <w:tmpl w:val="2E605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3B2E56"/>
    <w:multiLevelType w:val="hybridMultilevel"/>
    <w:tmpl w:val="C70A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2557027"/>
    <w:multiLevelType w:val="hybridMultilevel"/>
    <w:tmpl w:val="BAC0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4E4179D"/>
    <w:multiLevelType w:val="hybridMultilevel"/>
    <w:tmpl w:val="3C04EF5C"/>
    <w:lvl w:ilvl="0" w:tplc="08090001">
      <w:start w:val="1"/>
      <w:numFmt w:val="bullet"/>
      <w:lvlText w:val=""/>
      <w:lvlJc w:val="left"/>
      <w:pPr>
        <w:ind w:left="720" w:hanging="360"/>
      </w:pPr>
      <w:rPr>
        <w:rFonts w:ascii="Symbol" w:hAnsi="Symbol" w:hint="default"/>
      </w:rPr>
    </w:lvl>
    <w:lvl w:ilvl="1" w:tplc="3DBE20F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156AF1"/>
    <w:multiLevelType w:val="hybridMultilevel"/>
    <w:tmpl w:val="D17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DD0D29"/>
    <w:multiLevelType w:val="multilevel"/>
    <w:tmpl w:val="1D4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CE63BF"/>
    <w:multiLevelType w:val="hybridMultilevel"/>
    <w:tmpl w:val="A30E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BC6749C"/>
    <w:multiLevelType w:val="hybridMultilevel"/>
    <w:tmpl w:val="B6240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CF8708A"/>
    <w:multiLevelType w:val="hybridMultilevel"/>
    <w:tmpl w:val="93FE0EBC"/>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E532BC"/>
    <w:multiLevelType w:val="hybridMultilevel"/>
    <w:tmpl w:val="490CC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0D47BF8"/>
    <w:multiLevelType w:val="multilevel"/>
    <w:tmpl w:val="36D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D63A29"/>
    <w:multiLevelType w:val="hybridMultilevel"/>
    <w:tmpl w:val="F3907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21178FD"/>
    <w:multiLevelType w:val="hybridMultilevel"/>
    <w:tmpl w:val="CF0A693E"/>
    <w:lvl w:ilvl="0" w:tplc="F5B25DF4">
      <w:numFmt w:val="bullet"/>
      <w:lvlText w:val="-"/>
      <w:lvlJc w:val="left"/>
      <w:pPr>
        <w:ind w:left="360" w:hanging="360"/>
      </w:pPr>
      <w:rPr>
        <w:rFonts w:ascii="EC Square Sans Pro" w:eastAsiaTheme="minorHAnsi" w:hAnsi="EC Square Sans Pro" w:cstheme="minorBidi"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3C421B7"/>
    <w:multiLevelType w:val="hybridMultilevel"/>
    <w:tmpl w:val="2332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887B59"/>
    <w:multiLevelType w:val="hybridMultilevel"/>
    <w:tmpl w:val="A9CC7964"/>
    <w:lvl w:ilvl="0" w:tplc="23745CDA">
      <w:start w:val="1"/>
      <w:numFmt w:val="upperLetter"/>
      <w:pStyle w:val="Nagwek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A004D70"/>
    <w:multiLevelType w:val="hybridMultilevel"/>
    <w:tmpl w:val="B016BCA0"/>
    <w:lvl w:ilvl="0" w:tplc="DDB042C6">
      <w:start w:val="1"/>
      <w:numFmt w:val="upperRoman"/>
      <w:pStyle w:val="Nagwek1"/>
      <w:lvlText w:val="%1."/>
      <w:lvlJc w:val="left"/>
      <w:pPr>
        <w:ind w:left="720" w:hanging="360"/>
      </w:pPr>
      <w:rPr>
        <w:rFonts w:hint="default"/>
        <w:lang w:val="fr-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6202B4"/>
    <w:multiLevelType w:val="hybridMultilevel"/>
    <w:tmpl w:val="D7683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13417E5"/>
    <w:multiLevelType w:val="hybridMultilevel"/>
    <w:tmpl w:val="B28C4EEA"/>
    <w:lvl w:ilvl="0" w:tplc="0CC06D64">
      <w:numFmt w:val="bullet"/>
      <w:lvlText w:val="•"/>
      <w:lvlJc w:val="left"/>
      <w:pPr>
        <w:ind w:left="2121" w:hanging="705"/>
      </w:pPr>
      <w:rPr>
        <w:rFonts w:ascii="Calibri" w:eastAsia="Calibri" w:hAnsi="Calibri" w:cs="Calibri" w:hint="default"/>
      </w:rPr>
    </w:lvl>
    <w:lvl w:ilvl="1" w:tplc="080C0003">
      <w:start w:val="1"/>
      <w:numFmt w:val="bullet"/>
      <w:lvlText w:val="o"/>
      <w:lvlJc w:val="left"/>
      <w:pPr>
        <w:ind w:left="1442" w:hanging="360"/>
      </w:pPr>
      <w:rPr>
        <w:rFonts w:ascii="Courier New" w:hAnsi="Courier New" w:cs="Courier New" w:hint="default"/>
      </w:rPr>
    </w:lvl>
    <w:lvl w:ilvl="2" w:tplc="080C0005">
      <w:start w:val="1"/>
      <w:numFmt w:val="bullet"/>
      <w:lvlText w:val=""/>
      <w:lvlJc w:val="left"/>
      <w:pPr>
        <w:ind w:left="2162" w:hanging="360"/>
      </w:pPr>
      <w:rPr>
        <w:rFonts w:ascii="Wingdings" w:hAnsi="Wingdings" w:hint="default"/>
      </w:rPr>
    </w:lvl>
    <w:lvl w:ilvl="3" w:tplc="080C0001">
      <w:start w:val="1"/>
      <w:numFmt w:val="bullet"/>
      <w:lvlText w:val=""/>
      <w:lvlJc w:val="left"/>
      <w:pPr>
        <w:ind w:left="2882" w:hanging="360"/>
      </w:pPr>
      <w:rPr>
        <w:rFonts w:ascii="Symbol" w:hAnsi="Symbol" w:hint="default"/>
      </w:rPr>
    </w:lvl>
    <w:lvl w:ilvl="4" w:tplc="080C0003">
      <w:start w:val="1"/>
      <w:numFmt w:val="bullet"/>
      <w:lvlText w:val="o"/>
      <w:lvlJc w:val="left"/>
      <w:pPr>
        <w:ind w:left="3602" w:hanging="360"/>
      </w:pPr>
      <w:rPr>
        <w:rFonts w:ascii="Courier New" w:hAnsi="Courier New" w:cs="Courier New" w:hint="default"/>
      </w:rPr>
    </w:lvl>
    <w:lvl w:ilvl="5" w:tplc="080C0005">
      <w:start w:val="1"/>
      <w:numFmt w:val="bullet"/>
      <w:lvlText w:val=""/>
      <w:lvlJc w:val="left"/>
      <w:pPr>
        <w:ind w:left="4322" w:hanging="360"/>
      </w:pPr>
      <w:rPr>
        <w:rFonts w:ascii="Wingdings" w:hAnsi="Wingdings" w:hint="default"/>
      </w:rPr>
    </w:lvl>
    <w:lvl w:ilvl="6" w:tplc="080C0001">
      <w:start w:val="1"/>
      <w:numFmt w:val="bullet"/>
      <w:lvlText w:val=""/>
      <w:lvlJc w:val="left"/>
      <w:pPr>
        <w:ind w:left="5042" w:hanging="360"/>
      </w:pPr>
      <w:rPr>
        <w:rFonts w:ascii="Symbol" w:hAnsi="Symbol" w:hint="default"/>
      </w:rPr>
    </w:lvl>
    <w:lvl w:ilvl="7" w:tplc="080C0003">
      <w:start w:val="1"/>
      <w:numFmt w:val="bullet"/>
      <w:lvlText w:val="o"/>
      <w:lvlJc w:val="left"/>
      <w:pPr>
        <w:ind w:left="5762" w:hanging="360"/>
      </w:pPr>
      <w:rPr>
        <w:rFonts w:ascii="Courier New" w:hAnsi="Courier New" w:cs="Courier New" w:hint="default"/>
      </w:rPr>
    </w:lvl>
    <w:lvl w:ilvl="8" w:tplc="080C0005">
      <w:start w:val="1"/>
      <w:numFmt w:val="bullet"/>
      <w:lvlText w:val=""/>
      <w:lvlJc w:val="left"/>
      <w:pPr>
        <w:ind w:left="6482" w:hanging="360"/>
      </w:pPr>
      <w:rPr>
        <w:rFonts w:ascii="Wingdings" w:hAnsi="Wingdings" w:hint="default"/>
      </w:rPr>
    </w:lvl>
  </w:abstractNum>
  <w:abstractNum w:abstractNumId="31">
    <w:nsid w:val="729921B2"/>
    <w:multiLevelType w:val="hybridMultilevel"/>
    <w:tmpl w:val="A6C0B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7210546"/>
    <w:multiLevelType w:val="hybridMultilevel"/>
    <w:tmpl w:val="F170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1212B"/>
    <w:multiLevelType w:val="hybridMultilevel"/>
    <w:tmpl w:val="E84C4CA6"/>
    <w:lvl w:ilvl="0" w:tplc="01AEBBD6">
      <w:start w:val="1"/>
      <w:numFmt w:val="decimal"/>
      <w:lvlText w:val="%1."/>
      <w:lvlJc w:val="left"/>
      <w:pPr>
        <w:ind w:left="720" w:hanging="360"/>
      </w:pPr>
      <w:rPr>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68039E"/>
    <w:multiLevelType w:val="hybridMultilevel"/>
    <w:tmpl w:val="E73EE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A0D1348"/>
    <w:multiLevelType w:val="hybridMultilevel"/>
    <w:tmpl w:val="9346731A"/>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CB8698A"/>
    <w:multiLevelType w:val="hybridMultilevel"/>
    <w:tmpl w:val="3876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741466"/>
    <w:multiLevelType w:val="hybridMultilevel"/>
    <w:tmpl w:val="9B36FCCE"/>
    <w:lvl w:ilvl="0" w:tplc="F5B25DF4">
      <w:numFmt w:val="bullet"/>
      <w:lvlText w:val="-"/>
      <w:lvlJc w:val="left"/>
      <w:pPr>
        <w:ind w:left="360" w:hanging="360"/>
      </w:pPr>
      <w:rPr>
        <w:rFonts w:ascii="EC Square Sans Pro" w:eastAsiaTheme="minorHAnsi" w:hAnsi="EC Squar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21"/>
  </w:num>
  <w:num w:numId="5">
    <w:abstractNumId w:val="11"/>
  </w:num>
  <w:num w:numId="6">
    <w:abstractNumId w:val="35"/>
  </w:num>
  <w:num w:numId="7">
    <w:abstractNumId w:val="28"/>
  </w:num>
  <w:num w:numId="8">
    <w:abstractNumId w:val="1"/>
  </w:num>
  <w:num w:numId="9">
    <w:abstractNumId w:val="7"/>
  </w:num>
  <w:num w:numId="10">
    <w:abstractNumId w:val="23"/>
  </w:num>
  <w:num w:numId="11">
    <w:abstractNumId w:val="12"/>
  </w:num>
  <w:num w:numId="12">
    <w:abstractNumId w:val="18"/>
  </w:num>
  <w:num w:numId="13">
    <w:abstractNumId w:val="27"/>
  </w:num>
  <w:num w:numId="14">
    <w:abstractNumId w:val="3"/>
  </w:num>
  <w:num w:numId="15">
    <w:abstractNumId w:val="25"/>
  </w:num>
  <w:num w:numId="16">
    <w:abstractNumId w:val="3"/>
  </w:num>
  <w:num w:numId="17">
    <w:abstractNumId w:val="31"/>
  </w:num>
  <w:num w:numId="18">
    <w:abstractNumId w:val="20"/>
  </w:num>
  <w:num w:numId="19">
    <w:abstractNumId w:val="29"/>
  </w:num>
  <w:num w:numId="20">
    <w:abstractNumId w:val="5"/>
  </w:num>
  <w:num w:numId="21">
    <w:abstractNumId w:val="14"/>
  </w:num>
  <w:num w:numId="22">
    <w:abstractNumId w:val="15"/>
  </w:num>
  <w:num w:numId="23">
    <w:abstractNumId w:val="37"/>
  </w:num>
  <w:num w:numId="24">
    <w:abstractNumId w:val="4"/>
  </w:num>
  <w:num w:numId="25">
    <w:abstractNumId w:val="16"/>
  </w:num>
  <w:num w:numId="26">
    <w:abstractNumId w:val="13"/>
  </w:num>
  <w:num w:numId="27">
    <w:abstractNumId w:val="30"/>
  </w:num>
  <w:num w:numId="28">
    <w:abstractNumId w:val="9"/>
  </w:num>
  <w:num w:numId="29">
    <w:abstractNumId w:val="0"/>
  </w:num>
  <w:num w:numId="30">
    <w:abstractNumId w:val="36"/>
  </w:num>
  <w:num w:numId="31">
    <w:abstractNumId w:val="34"/>
  </w:num>
  <w:num w:numId="32">
    <w:abstractNumId w:val="19"/>
  </w:num>
  <w:num w:numId="33">
    <w:abstractNumId w:val="27"/>
    <w:lvlOverride w:ilvl="0">
      <w:startOverride w:val="1"/>
    </w:lvlOverride>
  </w:num>
  <w:num w:numId="34">
    <w:abstractNumId w:val="33"/>
  </w:num>
  <w:num w:numId="35">
    <w:abstractNumId w:val="17"/>
  </w:num>
  <w:num w:numId="36">
    <w:abstractNumId w:val="27"/>
  </w:num>
  <w:num w:numId="37">
    <w:abstractNumId w:val="6"/>
  </w:num>
  <w:num w:numId="38">
    <w:abstractNumId w:val="27"/>
    <w:lvlOverride w:ilvl="0">
      <w:startOverride w:val="1"/>
    </w:lvlOverride>
  </w:num>
  <w:num w:numId="39">
    <w:abstractNumId w:val="26"/>
  </w:num>
  <w:num w:numId="40">
    <w:abstractNumId w:val="32"/>
  </w:num>
  <w:num w:numId="41">
    <w:abstractNumId w:val="27"/>
  </w:num>
  <w:num w:numId="42">
    <w:abstractNumId w:val="10"/>
  </w:num>
  <w:num w:numId="43">
    <w:abstractNumId w:val="34"/>
  </w:num>
  <w:num w:numId="44">
    <w:abstractNumId w:val="22"/>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1506"/>
  </w:hdrShapeDefaults>
  <w:footnotePr>
    <w:footnote w:id="-1"/>
    <w:footnote w:id="0"/>
  </w:footnotePr>
  <w:endnotePr>
    <w:endnote w:id="-1"/>
    <w:endnote w:id="0"/>
  </w:endnotePr>
  <w:compat/>
  <w:docVars>
    <w:docVar w:name="DocStatus" w:val="Green"/>
    <w:docVar w:name="LW_CORRIGENDUM" w:val="&lt;UNUSED&gt;"/>
    <w:docVar w:name="LW_COVERPAGE_EXISTS" w:val="True"/>
    <w:docVar w:name="LW_COVERPAGE_GUID" w:val="1B87B048-097A-475F-B750-86054E857DF4"/>
    <w:docVar w:name="LW_COVERPAGE_TYPE" w:val="1"/>
    <w:docVar w:name="LW_CROSSREFERENCE" w:val="&lt;UNUSED&gt;"/>
    <w:docVar w:name="LW_DocType" w:val="NORMAL"/>
    <w:docVar w:name="LW_EMISSION" w:val="9.7.2020"/>
    <w:docVar w:name="LW_EMISSION_ISODATE" w:val="2020-07-09"/>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Bold&gt;Przygotowanie na zmiany&lt;/FMT&gt;_x000D__x000D__x000B_&lt;FMT:Font=Calibri CE,Bold&gt;Komunikat o gotowo\u347?ci na zmiany po zako\u324?czeniu okresu przej\u347?ciowego mi\u281?dzy Uni\u261? Europejsk\u261? a Zjednoczonym Królestwem &lt;/FMT&gt;"/>
    <w:docVar w:name="LW_TYPE.DOC.CP" w:val="KOMUNIKAT KOMISJI DO PARLAMENTU EUROPEJSKIEGO, RADY, EUROPEJSKIEGO KOMITETU EKONOMICZNO-SPO\u321?ECZNEGO I KOMITETU REGIONÓW"/>
    <w:docVar w:name="LW_TYPE.DOC.CP.USERTEXT" w:val="&lt;EMPTY&gt;"/>
  </w:docVars>
  <w:rsids>
    <w:rsidRoot w:val="005B5E63"/>
    <w:rsid w:val="000573DE"/>
    <w:rsid w:val="001B17D0"/>
    <w:rsid w:val="00251FE9"/>
    <w:rsid w:val="00270F49"/>
    <w:rsid w:val="0051086A"/>
    <w:rsid w:val="00542AF6"/>
    <w:rsid w:val="00595895"/>
    <w:rsid w:val="005B5E63"/>
    <w:rsid w:val="006A7E31"/>
    <w:rsid w:val="006D5231"/>
    <w:rsid w:val="006F7CFB"/>
    <w:rsid w:val="00936D63"/>
    <w:rsid w:val="00B13051"/>
    <w:rsid w:val="00B842E8"/>
    <w:rsid w:val="00B858F1"/>
    <w:rsid w:val="00BB305E"/>
    <w:rsid w:val="00BE7466"/>
    <w:rsid w:val="00C13014"/>
    <w:rsid w:val="00C13C09"/>
    <w:rsid w:val="00C43387"/>
    <w:rsid w:val="00D819EB"/>
    <w:rsid w:val="00E97A42"/>
    <w:rsid w:val="00EB0087"/>
    <w:rsid w:val="00F231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73DE"/>
    <w:pPr>
      <w:spacing w:after="200"/>
    </w:pPr>
    <w:rPr>
      <w:rFonts w:ascii="EC Square Sans Pro" w:hAnsi="EC Square Sans Pro" w:cstheme="minorBidi"/>
      <w:color w:val="auto"/>
    </w:rPr>
  </w:style>
  <w:style w:type="paragraph" w:styleId="Nagwek1">
    <w:name w:val="heading 1"/>
    <w:basedOn w:val="Normalny"/>
    <w:next w:val="Normalny"/>
    <w:link w:val="Nagwek1Znak"/>
    <w:uiPriority w:val="9"/>
    <w:rsid w:val="000573DE"/>
    <w:pPr>
      <w:keepNext/>
      <w:keepLines/>
      <w:numPr>
        <w:numId w:val="7"/>
      </w:numPr>
      <w:spacing w:before="240" w:after="240"/>
      <w:ind w:left="357" w:hanging="357"/>
      <w:outlineLvl w:val="0"/>
    </w:pPr>
    <w:rPr>
      <w:rFonts w:asciiTheme="minorHAnsi" w:eastAsiaTheme="majorEastAsia" w:hAnsiTheme="minorHAnsi" w:cstheme="majorBidi"/>
      <w:b/>
      <w:sz w:val="32"/>
      <w:szCs w:val="32"/>
    </w:rPr>
  </w:style>
  <w:style w:type="paragraph" w:styleId="Nagwek2">
    <w:name w:val="heading 2"/>
    <w:basedOn w:val="Normalny"/>
    <w:next w:val="Normalny"/>
    <w:link w:val="Nagwek2Znak"/>
    <w:uiPriority w:val="9"/>
    <w:unhideWhenUsed/>
    <w:rsid w:val="000573DE"/>
    <w:pPr>
      <w:keepNext/>
      <w:keepLines/>
      <w:numPr>
        <w:numId w:val="36"/>
      </w:numPr>
      <w:spacing w:before="240" w:after="120"/>
      <w:outlineLvl w:val="1"/>
    </w:pPr>
    <w:rPr>
      <w:rFonts w:asciiTheme="minorHAnsi" w:eastAsiaTheme="majorEastAsia" w:hAnsiTheme="minorHAnsi" w:cstheme="majorBidi"/>
      <w:b/>
      <w:sz w:val="28"/>
      <w:szCs w:val="26"/>
    </w:rPr>
  </w:style>
  <w:style w:type="paragraph" w:styleId="Nagwek3">
    <w:name w:val="heading 3"/>
    <w:basedOn w:val="Normalny"/>
    <w:next w:val="Normalny"/>
    <w:link w:val="Nagwek3Znak"/>
    <w:uiPriority w:val="9"/>
    <w:unhideWhenUsed/>
    <w:rsid w:val="000573DE"/>
    <w:pPr>
      <w:keepNext/>
      <w:keepLines/>
      <w:spacing w:before="360" w:after="180" w:line="240" w:lineRule="auto"/>
      <w:outlineLvl w:val="2"/>
    </w:pPr>
    <w:rPr>
      <w:rFonts w:asciiTheme="minorHAnsi" w:eastAsiaTheme="majorEastAsia" w:hAnsiTheme="minorHAnsi" w:cstheme="majorBidi"/>
      <w:b/>
      <w:sz w:val="24"/>
      <w:szCs w:val="24"/>
    </w:rPr>
  </w:style>
  <w:style w:type="paragraph" w:styleId="Nagwek4">
    <w:name w:val="heading 4"/>
    <w:basedOn w:val="Normalny"/>
    <w:next w:val="Normalny"/>
    <w:link w:val="Nagwek4Znak"/>
    <w:uiPriority w:val="9"/>
    <w:unhideWhenUsed/>
    <w:rsid w:val="000573DE"/>
    <w:pPr>
      <w:keepNext/>
      <w:keepLines/>
      <w:spacing w:before="240" w:after="120"/>
      <w:outlineLvl w:val="3"/>
    </w:pPr>
    <w:rPr>
      <w:rFonts w:asciiTheme="minorHAnsi" w:eastAsiaTheme="majorEastAsia" w:hAnsiTheme="minorHAnsi" w:cstheme="minorHAnsi"/>
      <w:i/>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PSCHeader">
    <w:name w:val="EPSC Header"/>
    <w:basedOn w:val="Normalny"/>
    <w:link w:val="EPSCHeaderChar"/>
    <w:qFormat/>
    <w:rsid w:val="000573DE"/>
    <w:pPr>
      <w:pBdr>
        <w:bottom w:val="single" w:sz="4" w:space="1" w:color="auto"/>
      </w:pBdr>
      <w:spacing w:before="360" w:after="240"/>
    </w:pPr>
    <w:rPr>
      <w:b/>
      <w:color w:val="1F497D" w:themeColor="text2"/>
      <w:sz w:val="28"/>
    </w:rPr>
  </w:style>
  <w:style w:type="character" w:customStyle="1" w:styleId="EPSCHeaderChar">
    <w:name w:val="EPSC Header Char"/>
    <w:basedOn w:val="Domylnaczcionkaakapitu"/>
    <w:link w:val="EPSCHeader"/>
    <w:rsid w:val="000573DE"/>
    <w:rPr>
      <w:rFonts w:ascii="EC Square Sans Pro" w:hAnsi="EC Square Sans Pro"/>
      <w:b/>
      <w:color w:val="1F497D" w:themeColor="text2"/>
      <w:sz w:val="28"/>
    </w:rPr>
  </w:style>
  <w:style w:type="paragraph" w:customStyle="1" w:styleId="Figure">
    <w:name w:val="Figure"/>
    <w:basedOn w:val="Normalny"/>
    <w:link w:val="FigureChar"/>
    <w:qFormat/>
    <w:rsid w:val="000573DE"/>
    <w:rPr>
      <w:b/>
      <w:color w:val="4F81BD" w:themeColor="accent1"/>
      <w:sz w:val="24"/>
    </w:rPr>
  </w:style>
  <w:style w:type="character" w:customStyle="1" w:styleId="FigureChar">
    <w:name w:val="Figure Char"/>
    <w:basedOn w:val="Domylnaczcionkaakapitu"/>
    <w:link w:val="Figure"/>
    <w:rsid w:val="000573DE"/>
    <w:rPr>
      <w:rFonts w:ascii="EC Square Sans Pro" w:hAnsi="EC Square Sans Pro"/>
      <w:b/>
      <w:color w:val="4F81BD" w:themeColor="accent1"/>
      <w:sz w:val="24"/>
    </w:rPr>
  </w:style>
  <w:style w:type="paragraph" w:customStyle="1" w:styleId="Figuresubtext">
    <w:name w:val="Figure subtext"/>
    <w:basedOn w:val="Normalny"/>
    <w:link w:val="FiguresubtextChar"/>
    <w:qFormat/>
    <w:rsid w:val="000573DE"/>
    <w:pPr>
      <w:spacing w:after="240"/>
    </w:pPr>
    <w:rPr>
      <w:color w:val="404040" w:themeColor="text1" w:themeTint="BF"/>
      <w:sz w:val="20"/>
    </w:rPr>
  </w:style>
  <w:style w:type="character" w:customStyle="1" w:styleId="FiguresubtextChar">
    <w:name w:val="Figure subtext Char"/>
    <w:basedOn w:val="Domylnaczcionkaakapitu"/>
    <w:link w:val="Figuresubtext"/>
    <w:rsid w:val="000573DE"/>
    <w:rPr>
      <w:rFonts w:ascii="EC Square Sans Pro" w:hAnsi="EC Square Sans Pro"/>
      <w:color w:val="404040" w:themeColor="text1" w:themeTint="BF"/>
      <w:sz w:val="20"/>
    </w:rPr>
  </w:style>
  <w:style w:type="paragraph" w:customStyle="1" w:styleId="EPSCSubheading">
    <w:name w:val="EPSC Subheading"/>
    <w:basedOn w:val="Normalny"/>
    <w:link w:val="EPSCSubheadingChar"/>
    <w:qFormat/>
    <w:rsid w:val="000573DE"/>
    <w:pPr>
      <w:spacing w:before="360" w:after="240"/>
    </w:pPr>
    <w:rPr>
      <w:b/>
      <w:color w:val="5F497A" w:themeColor="accent4" w:themeShade="BF"/>
      <w:sz w:val="26"/>
      <w:szCs w:val="26"/>
    </w:rPr>
  </w:style>
  <w:style w:type="character" w:customStyle="1" w:styleId="EPSCSubheadingChar">
    <w:name w:val="EPSC Subheading Char"/>
    <w:basedOn w:val="Domylnaczcionkaakapitu"/>
    <w:link w:val="EPSCSubheading"/>
    <w:rsid w:val="000573DE"/>
    <w:rPr>
      <w:rFonts w:ascii="EC Square Sans Pro" w:hAnsi="EC Square Sans Pro"/>
      <w:b/>
      <w:color w:val="5F497A" w:themeColor="accent4" w:themeShade="BF"/>
      <w:sz w:val="26"/>
      <w:szCs w:val="26"/>
    </w:rPr>
  </w:style>
  <w:style w:type="paragraph" w:styleId="Akapitzlist">
    <w:name w:val="List Paragraph"/>
    <w:basedOn w:val="Normalny"/>
    <w:uiPriority w:val="34"/>
    <w:qFormat/>
    <w:rsid w:val="000573DE"/>
    <w:pPr>
      <w:ind w:left="720"/>
      <w:contextualSpacing/>
    </w:pPr>
  </w:style>
  <w:style w:type="paragraph" w:styleId="Tekstdymka">
    <w:name w:val="Balloon Text"/>
    <w:basedOn w:val="Normalny"/>
    <w:link w:val="TekstdymkaZnak"/>
    <w:uiPriority w:val="99"/>
    <w:semiHidden/>
    <w:unhideWhenUsed/>
    <w:rsid w:val="000573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3DE"/>
    <w:rPr>
      <w:rFonts w:ascii="Segoe UI" w:hAnsi="Segoe UI" w:cs="Segoe UI"/>
      <w:color w:val="auto"/>
      <w:sz w:val="18"/>
      <w:szCs w:val="18"/>
    </w:rPr>
  </w:style>
  <w:style w:type="table" w:styleId="Jasnalistaakcent6">
    <w:name w:val="Light List Accent 6"/>
    <w:basedOn w:val="Standardowy"/>
    <w:uiPriority w:val="61"/>
    <w:rsid w:val="000573DE"/>
    <w:pPr>
      <w:spacing w:line="240" w:lineRule="auto"/>
    </w:pPr>
    <w:rPr>
      <w:rFonts w:asciiTheme="minorHAnsi" w:hAnsiTheme="minorHAnsi" w:cstheme="minorBidi"/>
      <w:color w:val="aut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nyWeb">
    <w:name w:val="Normal (Web)"/>
    <w:basedOn w:val="Normalny"/>
    <w:uiPriority w:val="99"/>
    <w:unhideWhenUsed/>
    <w:rsid w:val="000573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grubienie">
    <w:name w:val="Strong"/>
    <w:basedOn w:val="Domylnaczcionkaakapitu"/>
    <w:uiPriority w:val="22"/>
    <w:qFormat/>
    <w:rsid w:val="000573DE"/>
    <w:rPr>
      <w:b/>
      <w:bCs/>
    </w:rPr>
  </w:style>
  <w:style w:type="paragraph" w:customStyle="1" w:styleId="Pa2">
    <w:name w:val="Pa2"/>
    <w:basedOn w:val="Normalny"/>
    <w:next w:val="Normalny"/>
    <w:uiPriority w:val="99"/>
    <w:rsid w:val="000573DE"/>
    <w:pPr>
      <w:autoSpaceDE w:val="0"/>
      <w:autoSpaceDN w:val="0"/>
      <w:adjustRightInd w:val="0"/>
      <w:spacing w:after="0" w:line="241" w:lineRule="atLeast"/>
    </w:pPr>
    <w:rPr>
      <w:sz w:val="24"/>
      <w:szCs w:val="24"/>
    </w:rPr>
  </w:style>
  <w:style w:type="paragraph" w:customStyle="1" w:styleId="Pa0">
    <w:name w:val="Pa0"/>
    <w:basedOn w:val="Normalny"/>
    <w:next w:val="Normalny"/>
    <w:uiPriority w:val="99"/>
    <w:rsid w:val="000573DE"/>
    <w:pPr>
      <w:autoSpaceDE w:val="0"/>
      <w:autoSpaceDN w:val="0"/>
      <w:adjustRightInd w:val="0"/>
      <w:spacing w:after="0" w:line="241" w:lineRule="atLeast"/>
    </w:pPr>
    <w:rPr>
      <w:sz w:val="24"/>
      <w:szCs w:val="24"/>
    </w:rPr>
  </w:style>
  <w:style w:type="paragraph" w:styleId="Tekstprzypisudolnego">
    <w:name w:val="footnote text"/>
    <w:aliases w:val="M Footnotes,Fußnotentextf,Footnote,Fußnote,Char Char Car,Note de bas de page Car Car Car Car Car Car Car Car Car Car,Note de bas de page Car Car Car Car,Note de bas de page Car Car Car Car Car Car Car Car Car,ft,fn,o,f"/>
    <w:basedOn w:val="Normalny"/>
    <w:link w:val="TekstprzypisudolnegoZnak"/>
    <w:unhideWhenUsed/>
    <w:qFormat/>
    <w:rsid w:val="000573DE"/>
    <w:pPr>
      <w:spacing w:after="0" w:line="240" w:lineRule="auto"/>
    </w:pPr>
    <w:rPr>
      <w:sz w:val="20"/>
      <w:szCs w:val="20"/>
    </w:rPr>
  </w:style>
  <w:style w:type="character" w:customStyle="1" w:styleId="TekstprzypisudolnegoZnak">
    <w:name w:val="Tekst przypisu dolnego Znak"/>
    <w:aliases w:val="M Footnotes Znak,Fußnotentextf Znak,Footnote Znak,Fußnote Znak,Char Char Car Znak,Note de bas de page Car Car Car Car Car Car Car Car Car Car Znak,Note de bas de page Car Car Car Car Znak,ft Znak,fn Znak,o Znak,f Znak"/>
    <w:basedOn w:val="Domylnaczcionkaakapitu"/>
    <w:link w:val="Tekstprzypisudolnego"/>
    <w:rsid w:val="000573DE"/>
    <w:rPr>
      <w:rFonts w:ascii="EC Square Sans Pro" w:hAnsi="EC Square Sans Pro" w:cstheme="minorBidi"/>
      <w:color w:val="auto"/>
      <w:sz w:val="20"/>
      <w:szCs w:val="20"/>
    </w:rPr>
  </w:style>
  <w:style w:type="character" w:styleId="Odwoanieprzypisudolnego">
    <w:name w:val="footnote reference"/>
    <w:aliases w:val="EN Footnote Reference,Times 10 Point,Exposant 3 Point,Footnote symbol,Footnote reference number,note TESI,stylish,Footnote Reference Superscript,BVI fnr,number,Voetnootverwijzing,SUPERS,Ref,de nota al pie,Footnote sign,callout"/>
    <w:basedOn w:val="Domylnaczcionkaakapitu"/>
    <w:uiPriority w:val="99"/>
    <w:unhideWhenUsed/>
    <w:qFormat/>
    <w:rsid w:val="000573DE"/>
    <w:rPr>
      <w:vertAlign w:val="superscript"/>
    </w:rPr>
  </w:style>
  <w:style w:type="character" w:styleId="Hipercze">
    <w:name w:val="Hyperlink"/>
    <w:basedOn w:val="Domylnaczcionkaakapitu"/>
    <w:uiPriority w:val="99"/>
    <w:unhideWhenUsed/>
    <w:rsid w:val="000573DE"/>
    <w:rPr>
      <w:color w:val="0000FF"/>
      <w:u w:val="single"/>
    </w:rPr>
  </w:style>
  <w:style w:type="character" w:customStyle="1" w:styleId="Nagwek1Znak">
    <w:name w:val="Nagłówek 1 Znak"/>
    <w:basedOn w:val="Domylnaczcionkaakapitu"/>
    <w:link w:val="Nagwek1"/>
    <w:uiPriority w:val="9"/>
    <w:rsid w:val="000573DE"/>
    <w:rPr>
      <w:rFonts w:asciiTheme="minorHAnsi" w:eastAsiaTheme="majorEastAsia" w:hAnsiTheme="minorHAnsi" w:cstheme="majorBidi"/>
      <w:b/>
      <w:color w:val="auto"/>
      <w:sz w:val="32"/>
      <w:szCs w:val="32"/>
    </w:rPr>
  </w:style>
  <w:style w:type="paragraph" w:styleId="Tytu">
    <w:name w:val="Title"/>
    <w:basedOn w:val="Normalny"/>
    <w:next w:val="Normalny"/>
    <w:link w:val="TytuZnak"/>
    <w:uiPriority w:val="10"/>
    <w:rsid w:val="000573DE"/>
    <w:pPr>
      <w:numPr>
        <w:numId w:val="8"/>
      </w:numPr>
      <w:spacing w:after="240" w:line="240" w:lineRule="auto"/>
      <w:ind w:left="360"/>
      <w:contextualSpacing/>
    </w:pPr>
    <w:rPr>
      <w:rFonts w:asciiTheme="minorHAnsi" w:eastAsiaTheme="majorEastAsia" w:hAnsiTheme="minorHAnsi" w:cstheme="majorBidi"/>
      <w:b/>
      <w:spacing w:val="-10"/>
      <w:kern w:val="28"/>
      <w:sz w:val="32"/>
      <w:szCs w:val="56"/>
    </w:rPr>
  </w:style>
  <w:style w:type="character" w:customStyle="1" w:styleId="TytuZnak">
    <w:name w:val="Tytuł Znak"/>
    <w:basedOn w:val="Domylnaczcionkaakapitu"/>
    <w:link w:val="Tytu"/>
    <w:uiPriority w:val="10"/>
    <w:rsid w:val="000573DE"/>
    <w:rPr>
      <w:rFonts w:asciiTheme="minorHAnsi" w:eastAsiaTheme="majorEastAsia" w:hAnsiTheme="minorHAnsi" w:cstheme="majorBidi"/>
      <w:b/>
      <w:color w:val="auto"/>
      <w:spacing w:val="-10"/>
      <w:kern w:val="28"/>
      <w:sz w:val="32"/>
      <w:szCs w:val="56"/>
    </w:rPr>
  </w:style>
  <w:style w:type="character" w:styleId="Odwoaniedokomentarza">
    <w:name w:val="annotation reference"/>
    <w:basedOn w:val="Domylnaczcionkaakapitu"/>
    <w:uiPriority w:val="99"/>
    <w:semiHidden/>
    <w:unhideWhenUsed/>
    <w:rsid w:val="000573DE"/>
    <w:rPr>
      <w:sz w:val="16"/>
      <w:szCs w:val="16"/>
    </w:rPr>
  </w:style>
  <w:style w:type="paragraph" w:styleId="Tekstkomentarza">
    <w:name w:val="annotation text"/>
    <w:basedOn w:val="Normalny"/>
    <w:link w:val="TekstkomentarzaZnak"/>
    <w:uiPriority w:val="99"/>
    <w:unhideWhenUsed/>
    <w:rsid w:val="000573DE"/>
    <w:pPr>
      <w:spacing w:line="240" w:lineRule="auto"/>
    </w:pPr>
    <w:rPr>
      <w:sz w:val="20"/>
      <w:szCs w:val="20"/>
    </w:rPr>
  </w:style>
  <w:style w:type="character" w:customStyle="1" w:styleId="TekstkomentarzaZnak">
    <w:name w:val="Tekst komentarza Znak"/>
    <w:basedOn w:val="Domylnaczcionkaakapitu"/>
    <w:link w:val="Tekstkomentarza"/>
    <w:uiPriority w:val="99"/>
    <w:rsid w:val="000573DE"/>
    <w:rPr>
      <w:rFonts w:ascii="EC Square Sans Pro" w:hAnsi="EC Square Sans Pro" w:cstheme="minorBidi"/>
      <w:color w:val="auto"/>
      <w:sz w:val="20"/>
      <w:szCs w:val="20"/>
    </w:rPr>
  </w:style>
  <w:style w:type="paragraph" w:styleId="Tematkomentarza">
    <w:name w:val="annotation subject"/>
    <w:basedOn w:val="Tekstkomentarza"/>
    <w:next w:val="Tekstkomentarza"/>
    <w:link w:val="TematkomentarzaZnak"/>
    <w:uiPriority w:val="99"/>
    <w:semiHidden/>
    <w:unhideWhenUsed/>
    <w:rsid w:val="000573DE"/>
    <w:rPr>
      <w:b/>
      <w:bCs/>
    </w:rPr>
  </w:style>
  <w:style w:type="character" w:customStyle="1" w:styleId="TematkomentarzaZnak">
    <w:name w:val="Temat komentarza Znak"/>
    <w:basedOn w:val="TekstkomentarzaZnak"/>
    <w:link w:val="Tematkomentarza"/>
    <w:uiPriority w:val="99"/>
    <w:semiHidden/>
    <w:rsid w:val="000573DE"/>
    <w:rPr>
      <w:rFonts w:ascii="EC Square Sans Pro" w:hAnsi="EC Square Sans Pro" w:cstheme="minorBidi"/>
      <w:b/>
      <w:bCs/>
      <w:color w:val="auto"/>
      <w:sz w:val="20"/>
      <w:szCs w:val="20"/>
    </w:rPr>
  </w:style>
  <w:style w:type="paragraph" w:styleId="Poprawka">
    <w:name w:val="Revision"/>
    <w:hidden/>
    <w:uiPriority w:val="99"/>
    <w:semiHidden/>
    <w:rsid w:val="000573DE"/>
    <w:pPr>
      <w:spacing w:line="240" w:lineRule="auto"/>
    </w:pPr>
    <w:rPr>
      <w:rFonts w:ascii="EC Square Sans Pro" w:hAnsi="EC Square Sans Pro" w:cstheme="minorBidi"/>
      <w:color w:val="auto"/>
    </w:rPr>
  </w:style>
  <w:style w:type="paragraph" w:styleId="Nagwek">
    <w:name w:val="header"/>
    <w:basedOn w:val="Normalny"/>
    <w:link w:val="NagwekZnak"/>
    <w:uiPriority w:val="99"/>
    <w:unhideWhenUsed/>
    <w:rsid w:val="000573D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573DE"/>
    <w:rPr>
      <w:rFonts w:ascii="EC Square Sans Pro" w:hAnsi="EC Square Sans Pro" w:cstheme="minorBidi"/>
      <w:color w:val="auto"/>
    </w:rPr>
  </w:style>
  <w:style w:type="paragraph" w:styleId="Stopka">
    <w:name w:val="footer"/>
    <w:basedOn w:val="Normalny"/>
    <w:link w:val="StopkaZnak"/>
    <w:uiPriority w:val="99"/>
    <w:unhideWhenUsed/>
    <w:rsid w:val="000573D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0573DE"/>
    <w:rPr>
      <w:rFonts w:ascii="EC Square Sans Pro" w:hAnsi="EC Square Sans Pro" w:cstheme="minorBidi"/>
      <w:color w:val="auto"/>
    </w:rPr>
  </w:style>
  <w:style w:type="paragraph" w:styleId="Nagwekspisutreci">
    <w:name w:val="TOC Heading"/>
    <w:basedOn w:val="Nagwek1"/>
    <w:next w:val="Normalny"/>
    <w:uiPriority w:val="39"/>
    <w:unhideWhenUsed/>
    <w:qFormat/>
    <w:rsid w:val="000573DE"/>
    <w:pPr>
      <w:numPr>
        <w:numId w:val="0"/>
      </w:numPr>
      <w:spacing w:after="0" w:line="259" w:lineRule="auto"/>
      <w:outlineLvl w:val="9"/>
    </w:pPr>
    <w:rPr>
      <w:rFonts w:asciiTheme="majorHAnsi" w:hAnsiTheme="majorHAnsi"/>
      <w:b w:val="0"/>
      <w:color w:val="365F91" w:themeColor="accent1" w:themeShade="BF"/>
    </w:rPr>
  </w:style>
  <w:style w:type="paragraph" w:styleId="Spistreci1">
    <w:name w:val="toc 1"/>
    <w:basedOn w:val="Normalny"/>
    <w:next w:val="Normalny"/>
    <w:autoRedefine/>
    <w:uiPriority w:val="39"/>
    <w:unhideWhenUsed/>
    <w:rsid w:val="000573DE"/>
    <w:pPr>
      <w:spacing w:after="100"/>
    </w:pPr>
  </w:style>
  <w:style w:type="character" w:customStyle="1" w:styleId="Nagwek2Znak">
    <w:name w:val="Nagłówek 2 Znak"/>
    <w:basedOn w:val="Domylnaczcionkaakapitu"/>
    <w:link w:val="Nagwek2"/>
    <w:uiPriority w:val="9"/>
    <w:rsid w:val="000573DE"/>
    <w:rPr>
      <w:rFonts w:asciiTheme="minorHAnsi" w:eastAsiaTheme="majorEastAsia" w:hAnsiTheme="minorHAnsi" w:cstheme="majorBidi"/>
      <w:b/>
      <w:color w:val="auto"/>
      <w:sz w:val="28"/>
      <w:szCs w:val="26"/>
    </w:rPr>
  </w:style>
  <w:style w:type="character" w:customStyle="1" w:styleId="Nagwek3Znak">
    <w:name w:val="Nagłówek 3 Znak"/>
    <w:basedOn w:val="Domylnaczcionkaakapitu"/>
    <w:link w:val="Nagwek3"/>
    <w:uiPriority w:val="9"/>
    <w:rsid w:val="000573DE"/>
    <w:rPr>
      <w:rFonts w:asciiTheme="minorHAnsi" w:eastAsiaTheme="majorEastAsia" w:hAnsiTheme="minorHAnsi" w:cstheme="majorBidi"/>
      <w:b/>
      <w:color w:val="auto"/>
      <w:sz w:val="24"/>
      <w:szCs w:val="24"/>
    </w:rPr>
  </w:style>
  <w:style w:type="paragraph" w:styleId="Spistreci2">
    <w:name w:val="toc 2"/>
    <w:basedOn w:val="Normalny"/>
    <w:next w:val="Normalny"/>
    <w:autoRedefine/>
    <w:uiPriority w:val="39"/>
    <w:unhideWhenUsed/>
    <w:rsid w:val="000573DE"/>
    <w:pPr>
      <w:tabs>
        <w:tab w:val="left" w:pos="660"/>
        <w:tab w:val="right" w:leader="dot" w:pos="9062"/>
      </w:tabs>
      <w:spacing w:after="100"/>
      <w:ind w:left="220"/>
    </w:pPr>
    <w:rPr>
      <w:rFonts w:cstheme="minorHAnsi"/>
      <w:b/>
      <w:noProof/>
    </w:rPr>
  </w:style>
  <w:style w:type="paragraph" w:styleId="Spistreci3">
    <w:name w:val="toc 3"/>
    <w:basedOn w:val="Normalny"/>
    <w:next w:val="Normalny"/>
    <w:autoRedefine/>
    <w:uiPriority w:val="39"/>
    <w:unhideWhenUsed/>
    <w:rsid w:val="000573DE"/>
    <w:pPr>
      <w:spacing w:after="100"/>
      <w:ind w:left="440"/>
    </w:pPr>
  </w:style>
  <w:style w:type="table" w:styleId="Tabela-Siatka">
    <w:name w:val="Table Grid"/>
    <w:basedOn w:val="Standardowy"/>
    <w:uiPriority w:val="59"/>
    <w:rsid w:val="000573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rsid w:val="000573DE"/>
    <w:rPr>
      <w:rFonts w:asciiTheme="minorHAnsi" w:eastAsiaTheme="majorEastAsia" w:hAnsiTheme="minorHAnsi" w:cstheme="minorHAnsi"/>
      <w:i/>
      <w:iCs/>
      <w:color w:val="auto"/>
      <w:sz w:val="24"/>
    </w:rPr>
  </w:style>
  <w:style w:type="paragraph" w:styleId="Spistreci4">
    <w:name w:val="toc 4"/>
    <w:basedOn w:val="Normalny"/>
    <w:next w:val="Normalny"/>
    <w:autoRedefine/>
    <w:uiPriority w:val="39"/>
    <w:unhideWhenUsed/>
    <w:rsid w:val="000573DE"/>
    <w:pPr>
      <w:spacing w:after="100"/>
      <w:ind w:left="660"/>
    </w:pPr>
  </w:style>
  <w:style w:type="character" w:styleId="Uwydatnienie">
    <w:name w:val="Emphasis"/>
    <w:basedOn w:val="Domylnaczcionkaakapitu"/>
    <w:uiPriority w:val="20"/>
    <w:qFormat/>
    <w:rsid w:val="000573DE"/>
    <w:rPr>
      <w:i/>
      <w:iCs/>
    </w:rPr>
  </w:style>
  <w:style w:type="character" w:customStyle="1" w:styleId="Marker">
    <w:name w:val="Marker"/>
    <w:basedOn w:val="Domylnaczcionkaakapitu"/>
    <w:rsid w:val="000573DE"/>
    <w:rPr>
      <w:color w:val="0000FF"/>
      <w:shd w:val="clear" w:color="auto" w:fill="auto"/>
    </w:rPr>
  </w:style>
  <w:style w:type="paragraph" w:customStyle="1" w:styleId="Pagedecouverture">
    <w:name w:val="Page de couverture"/>
    <w:basedOn w:val="Normalny"/>
    <w:next w:val="Normalny"/>
    <w:rsid w:val="000573DE"/>
    <w:pPr>
      <w:spacing w:after="0" w:line="240" w:lineRule="auto"/>
      <w:jc w:val="both"/>
    </w:pPr>
    <w:rPr>
      <w:rFonts w:ascii="Times New Roman" w:hAnsi="Times New Roman" w:cs="Times New Roman"/>
      <w:sz w:val="24"/>
    </w:rPr>
  </w:style>
  <w:style w:type="paragraph" w:customStyle="1" w:styleId="FooterCoverPage">
    <w:name w:val="Footer Cover Page"/>
    <w:basedOn w:val="Normalny"/>
    <w:link w:val="FooterCoverPageChar"/>
    <w:rsid w:val="000573D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sid w:val="000573DE"/>
    <w:rPr>
      <w:rFonts w:ascii="Times New Roman" w:hAnsi="Times New Roman" w:cs="Times New Roman"/>
      <w:color w:val="auto"/>
      <w:sz w:val="24"/>
    </w:rPr>
  </w:style>
  <w:style w:type="paragraph" w:customStyle="1" w:styleId="FooterSensitivity">
    <w:name w:val="Footer Sensitivity"/>
    <w:basedOn w:val="Normalny"/>
    <w:link w:val="FooterSensitivityChar"/>
    <w:rsid w:val="000573D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omylnaczcionkaakapitu"/>
    <w:link w:val="FooterSensitivity"/>
    <w:rsid w:val="000573DE"/>
    <w:rPr>
      <w:rFonts w:ascii="Times New Roman" w:hAnsi="Times New Roman" w:cs="Times New Roman"/>
      <w:b/>
      <w:color w:val="auto"/>
      <w:sz w:val="32"/>
    </w:rPr>
  </w:style>
  <w:style w:type="paragraph" w:customStyle="1" w:styleId="HeaderCoverPage">
    <w:name w:val="Header Cover Page"/>
    <w:basedOn w:val="Normalny"/>
    <w:link w:val="HeaderCoverPageChar"/>
    <w:rsid w:val="000573D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sid w:val="000573DE"/>
    <w:rPr>
      <w:rFonts w:ascii="Times New Roman" w:hAnsi="Times New Roman" w:cs="Times New Roman"/>
      <w:color w:val="auto"/>
      <w:sz w:val="24"/>
    </w:rPr>
  </w:style>
  <w:style w:type="paragraph" w:customStyle="1" w:styleId="HeaderSensitivity">
    <w:name w:val="Header Sensitivity"/>
    <w:basedOn w:val="Normalny"/>
    <w:link w:val="HeaderSensitivityChar"/>
    <w:rsid w:val="000573D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omylnaczcionkaakapitu"/>
    <w:link w:val="HeaderSensitivity"/>
    <w:rsid w:val="000573DE"/>
    <w:rPr>
      <w:rFonts w:ascii="Times New Roman" w:hAnsi="Times New Roman" w:cs="Times New Roman"/>
      <w:b/>
      <w:color w:val="auto"/>
      <w:sz w:val="32"/>
    </w:rPr>
  </w:style>
  <w:style w:type="paragraph" w:customStyle="1" w:styleId="HeaderSensitivityRight">
    <w:name w:val="Header Sensitivity Right"/>
    <w:basedOn w:val="Normalny"/>
    <w:link w:val="HeaderSensitivityRightChar"/>
    <w:rsid w:val="000573D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omylnaczcionkaakapitu"/>
    <w:link w:val="HeaderSensitivityRight"/>
    <w:rsid w:val="000573DE"/>
    <w:rPr>
      <w:rFonts w:ascii="Times New Roman" w:hAnsi="Times New Roman" w:cs="Times New Roman"/>
      <w:color w:val="auto"/>
      <w:sz w:val="28"/>
    </w:rPr>
  </w:style>
  <w:style w:type="paragraph" w:customStyle="1" w:styleId="yiv2536349882msonormal">
    <w:name w:val="yiv2536349882msonormal"/>
    <w:basedOn w:val="Normalny"/>
    <w:rsid w:val="000573DE"/>
    <w:pPr>
      <w:spacing w:before="100" w:beforeAutospacing="1" w:after="100" w:afterAutospacing="1" w:line="240" w:lineRule="auto"/>
    </w:pPr>
    <w:rPr>
      <w:rFonts w:ascii="Times New Roman" w:eastAsiaTheme="minorEastAsia" w:hAnsi="Times New Roman" w:cs="Times New Roman"/>
      <w:sz w:val="20"/>
      <w:szCs w:val="20"/>
      <w:lang w:eastAsia="nl-NL"/>
    </w:rPr>
  </w:style>
  <w:style w:type="character" w:styleId="UyteHipercze">
    <w:name w:val="FollowedHyperlink"/>
    <w:basedOn w:val="Domylnaczcionkaakapitu"/>
    <w:uiPriority w:val="99"/>
    <w:semiHidden/>
    <w:unhideWhenUsed/>
    <w:rsid w:val="000573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244120">
      <w:bodyDiv w:val="1"/>
      <w:marLeft w:val="0"/>
      <w:marRight w:val="0"/>
      <w:marTop w:val="0"/>
      <w:marBottom w:val="0"/>
      <w:divBdr>
        <w:top w:val="none" w:sz="0" w:space="0" w:color="auto"/>
        <w:left w:val="none" w:sz="0" w:space="0" w:color="auto"/>
        <w:bottom w:val="none" w:sz="0" w:space="0" w:color="auto"/>
        <w:right w:val="none" w:sz="0" w:space="0" w:color="auto"/>
      </w:divBdr>
    </w:div>
    <w:div w:id="41640762">
      <w:bodyDiv w:val="1"/>
      <w:marLeft w:val="0"/>
      <w:marRight w:val="0"/>
      <w:marTop w:val="0"/>
      <w:marBottom w:val="0"/>
      <w:divBdr>
        <w:top w:val="none" w:sz="0" w:space="0" w:color="auto"/>
        <w:left w:val="none" w:sz="0" w:space="0" w:color="auto"/>
        <w:bottom w:val="none" w:sz="0" w:space="0" w:color="auto"/>
        <w:right w:val="none" w:sz="0" w:space="0" w:color="auto"/>
      </w:divBdr>
    </w:div>
    <w:div w:id="170143093">
      <w:bodyDiv w:val="1"/>
      <w:marLeft w:val="0"/>
      <w:marRight w:val="0"/>
      <w:marTop w:val="0"/>
      <w:marBottom w:val="0"/>
      <w:divBdr>
        <w:top w:val="none" w:sz="0" w:space="0" w:color="auto"/>
        <w:left w:val="none" w:sz="0" w:space="0" w:color="auto"/>
        <w:bottom w:val="none" w:sz="0" w:space="0" w:color="auto"/>
        <w:right w:val="none" w:sz="0" w:space="0" w:color="auto"/>
      </w:divBdr>
    </w:div>
    <w:div w:id="202716665">
      <w:bodyDiv w:val="1"/>
      <w:marLeft w:val="0"/>
      <w:marRight w:val="0"/>
      <w:marTop w:val="0"/>
      <w:marBottom w:val="0"/>
      <w:divBdr>
        <w:top w:val="none" w:sz="0" w:space="0" w:color="auto"/>
        <w:left w:val="none" w:sz="0" w:space="0" w:color="auto"/>
        <w:bottom w:val="none" w:sz="0" w:space="0" w:color="auto"/>
        <w:right w:val="none" w:sz="0" w:space="0" w:color="auto"/>
      </w:divBdr>
    </w:div>
    <w:div w:id="204101267">
      <w:bodyDiv w:val="1"/>
      <w:marLeft w:val="0"/>
      <w:marRight w:val="0"/>
      <w:marTop w:val="0"/>
      <w:marBottom w:val="0"/>
      <w:divBdr>
        <w:top w:val="none" w:sz="0" w:space="0" w:color="auto"/>
        <w:left w:val="none" w:sz="0" w:space="0" w:color="auto"/>
        <w:bottom w:val="none" w:sz="0" w:space="0" w:color="auto"/>
        <w:right w:val="none" w:sz="0" w:space="0" w:color="auto"/>
      </w:divBdr>
    </w:div>
    <w:div w:id="214237665">
      <w:bodyDiv w:val="1"/>
      <w:marLeft w:val="0"/>
      <w:marRight w:val="0"/>
      <w:marTop w:val="0"/>
      <w:marBottom w:val="0"/>
      <w:divBdr>
        <w:top w:val="none" w:sz="0" w:space="0" w:color="auto"/>
        <w:left w:val="none" w:sz="0" w:space="0" w:color="auto"/>
        <w:bottom w:val="none" w:sz="0" w:space="0" w:color="auto"/>
        <w:right w:val="none" w:sz="0" w:space="0" w:color="auto"/>
      </w:divBdr>
      <w:divsChild>
        <w:div w:id="396518694">
          <w:marLeft w:val="0"/>
          <w:marRight w:val="0"/>
          <w:marTop w:val="0"/>
          <w:marBottom w:val="0"/>
          <w:divBdr>
            <w:top w:val="none" w:sz="0" w:space="0" w:color="auto"/>
            <w:left w:val="none" w:sz="0" w:space="0" w:color="auto"/>
            <w:bottom w:val="none" w:sz="0" w:space="0" w:color="auto"/>
            <w:right w:val="none" w:sz="0" w:space="0" w:color="auto"/>
          </w:divBdr>
          <w:divsChild>
            <w:div w:id="1425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715">
      <w:bodyDiv w:val="1"/>
      <w:marLeft w:val="0"/>
      <w:marRight w:val="0"/>
      <w:marTop w:val="0"/>
      <w:marBottom w:val="0"/>
      <w:divBdr>
        <w:top w:val="none" w:sz="0" w:space="0" w:color="auto"/>
        <w:left w:val="none" w:sz="0" w:space="0" w:color="auto"/>
        <w:bottom w:val="none" w:sz="0" w:space="0" w:color="auto"/>
        <w:right w:val="none" w:sz="0" w:space="0" w:color="auto"/>
      </w:divBdr>
    </w:div>
    <w:div w:id="328337681">
      <w:bodyDiv w:val="1"/>
      <w:marLeft w:val="0"/>
      <w:marRight w:val="0"/>
      <w:marTop w:val="0"/>
      <w:marBottom w:val="0"/>
      <w:divBdr>
        <w:top w:val="none" w:sz="0" w:space="0" w:color="auto"/>
        <w:left w:val="none" w:sz="0" w:space="0" w:color="auto"/>
        <w:bottom w:val="none" w:sz="0" w:space="0" w:color="auto"/>
        <w:right w:val="none" w:sz="0" w:space="0" w:color="auto"/>
      </w:divBdr>
    </w:div>
    <w:div w:id="381565034">
      <w:bodyDiv w:val="1"/>
      <w:marLeft w:val="0"/>
      <w:marRight w:val="0"/>
      <w:marTop w:val="0"/>
      <w:marBottom w:val="0"/>
      <w:divBdr>
        <w:top w:val="none" w:sz="0" w:space="0" w:color="auto"/>
        <w:left w:val="none" w:sz="0" w:space="0" w:color="auto"/>
        <w:bottom w:val="none" w:sz="0" w:space="0" w:color="auto"/>
        <w:right w:val="none" w:sz="0" w:space="0" w:color="auto"/>
      </w:divBdr>
    </w:div>
    <w:div w:id="383260946">
      <w:bodyDiv w:val="1"/>
      <w:marLeft w:val="0"/>
      <w:marRight w:val="0"/>
      <w:marTop w:val="0"/>
      <w:marBottom w:val="0"/>
      <w:divBdr>
        <w:top w:val="none" w:sz="0" w:space="0" w:color="auto"/>
        <w:left w:val="none" w:sz="0" w:space="0" w:color="auto"/>
        <w:bottom w:val="none" w:sz="0" w:space="0" w:color="auto"/>
        <w:right w:val="none" w:sz="0" w:space="0" w:color="auto"/>
      </w:divBdr>
    </w:div>
    <w:div w:id="393820069">
      <w:bodyDiv w:val="1"/>
      <w:marLeft w:val="0"/>
      <w:marRight w:val="0"/>
      <w:marTop w:val="0"/>
      <w:marBottom w:val="0"/>
      <w:divBdr>
        <w:top w:val="none" w:sz="0" w:space="0" w:color="auto"/>
        <w:left w:val="none" w:sz="0" w:space="0" w:color="auto"/>
        <w:bottom w:val="none" w:sz="0" w:space="0" w:color="auto"/>
        <w:right w:val="none" w:sz="0" w:space="0" w:color="auto"/>
      </w:divBdr>
      <w:divsChild>
        <w:div w:id="141849342">
          <w:marLeft w:val="0"/>
          <w:marRight w:val="0"/>
          <w:marTop w:val="0"/>
          <w:marBottom w:val="0"/>
          <w:divBdr>
            <w:top w:val="none" w:sz="0" w:space="0" w:color="auto"/>
            <w:left w:val="none" w:sz="0" w:space="0" w:color="auto"/>
            <w:bottom w:val="none" w:sz="0" w:space="0" w:color="auto"/>
            <w:right w:val="none" w:sz="0" w:space="0" w:color="auto"/>
          </w:divBdr>
        </w:div>
      </w:divsChild>
    </w:div>
    <w:div w:id="415984480">
      <w:bodyDiv w:val="1"/>
      <w:marLeft w:val="0"/>
      <w:marRight w:val="0"/>
      <w:marTop w:val="0"/>
      <w:marBottom w:val="0"/>
      <w:divBdr>
        <w:top w:val="none" w:sz="0" w:space="0" w:color="auto"/>
        <w:left w:val="none" w:sz="0" w:space="0" w:color="auto"/>
        <w:bottom w:val="none" w:sz="0" w:space="0" w:color="auto"/>
        <w:right w:val="none" w:sz="0" w:space="0" w:color="auto"/>
      </w:divBdr>
    </w:div>
    <w:div w:id="439104049">
      <w:bodyDiv w:val="1"/>
      <w:marLeft w:val="0"/>
      <w:marRight w:val="0"/>
      <w:marTop w:val="0"/>
      <w:marBottom w:val="0"/>
      <w:divBdr>
        <w:top w:val="none" w:sz="0" w:space="0" w:color="auto"/>
        <w:left w:val="none" w:sz="0" w:space="0" w:color="auto"/>
        <w:bottom w:val="none" w:sz="0" w:space="0" w:color="auto"/>
        <w:right w:val="none" w:sz="0" w:space="0" w:color="auto"/>
      </w:divBdr>
    </w:div>
    <w:div w:id="473520909">
      <w:bodyDiv w:val="1"/>
      <w:marLeft w:val="0"/>
      <w:marRight w:val="0"/>
      <w:marTop w:val="0"/>
      <w:marBottom w:val="0"/>
      <w:divBdr>
        <w:top w:val="none" w:sz="0" w:space="0" w:color="auto"/>
        <w:left w:val="none" w:sz="0" w:space="0" w:color="auto"/>
        <w:bottom w:val="none" w:sz="0" w:space="0" w:color="auto"/>
        <w:right w:val="none" w:sz="0" w:space="0" w:color="auto"/>
      </w:divBdr>
    </w:div>
    <w:div w:id="483550244">
      <w:bodyDiv w:val="1"/>
      <w:marLeft w:val="0"/>
      <w:marRight w:val="0"/>
      <w:marTop w:val="0"/>
      <w:marBottom w:val="0"/>
      <w:divBdr>
        <w:top w:val="none" w:sz="0" w:space="0" w:color="auto"/>
        <w:left w:val="none" w:sz="0" w:space="0" w:color="auto"/>
        <w:bottom w:val="none" w:sz="0" w:space="0" w:color="auto"/>
        <w:right w:val="none" w:sz="0" w:space="0" w:color="auto"/>
      </w:divBdr>
    </w:div>
    <w:div w:id="512692236">
      <w:bodyDiv w:val="1"/>
      <w:marLeft w:val="0"/>
      <w:marRight w:val="0"/>
      <w:marTop w:val="0"/>
      <w:marBottom w:val="0"/>
      <w:divBdr>
        <w:top w:val="none" w:sz="0" w:space="0" w:color="auto"/>
        <w:left w:val="none" w:sz="0" w:space="0" w:color="auto"/>
        <w:bottom w:val="none" w:sz="0" w:space="0" w:color="auto"/>
        <w:right w:val="none" w:sz="0" w:space="0" w:color="auto"/>
      </w:divBdr>
    </w:div>
    <w:div w:id="529077140">
      <w:bodyDiv w:val="1"/>
      <w:marLeft w:val="0"/>
      <w:marRight w:val="0"/>
      <w:marTop w:val="0"/>
      <w:marBottom w:val="0"/>
      <w:divBdr>
        <w:top w:val="none" w:sz="0" w:space="0" w:color="auto"/>
        <w:left w:val="none" w:sz="0" w:space="0" w:color="auto"/>
        <w:bottom w:val="none" w:sz="0" w:space="0" w:color="auto"/>
        <w:right w:val="none" w:sz="0" w:space="0" w:color="auto"/>
      </w:divBdr>
    </w:div>
    <w:div w:id="561447625">
      <w:bodyDiv w:val="1"/>
      <w:marLeft w:val="0"/>
      <w:marRight w:val="0"/>
      <w:marTop w:val="0"/>
      <w:marBottom w:val="0"/>
      <w:divBdr>
        <w:top w:val="none" w:sz="0" w:space="0" w:color="auto"/>
        <w:left w:val="none" w:sz="0" w:space="0" w:color="auto"/>
        <w:bottom w:val="none" w:sz="0" w:space="0" w:color="auto"/>
        <w:right w:val="none" w:sz="0" w:space="0" w:color="auto"/>
      </w:divBdr>
    </w:div>
    <w:div w:id="576598090">
      <w:bodyDiv w:val="1"/>
      <w:marLeft w:val="0"/>
      <w:marRight w:val="0"/>
      <w:marTop w:val="0"/>
      <w:marBottom w:val="0"/>
      <w:divBdr>
        <w:top w:val="none" w:sz="0" w:space="0" w:color="auto"/>
        <w:left w:val="none" w:sz="0" w:space="0" w:color="auto"/>
        <w:bottom w:val="none" w:sz="0" w:space="0" w:color="auto"/>
        <w:right w:val="none" w:sz="0" w:space="0" w:color="auto"/>
      </w:divBdr>
    </w:div>
    <w:div w:id="593363654">
      <w:bodyDiv w:val="1"/>
      <w:marLeft w:val="0"/>
      <w:marRight w:val="0"/>
      <w:marTop w:val="0"/>
      <w:marBottom w:val="0"/>
      <w:divBdr>
        <w:top w:val="none" w:sz="0" w:space="0" w:color="auto"/>
        <w:left w:val="none" w:sz="0" w:space="0" w:color="auto"/>
        <w:bottom w:val="none" w:sz="0" w:space="0" w:color="auto"/>
        <w:right w:val="none" w:sz="0" w:space="0" w:color="auto"/>
      </w:divBdr>
    </w:div>
    <w:div w:id="595479681">
      <w:bodyDiv w:val="1"/>
      <w:marLeft w:val="0"/>
      <w:marRight w:val="0"/>
      <w:marTop w:val="0"/>
      <w:marBottom w:val="0"/>
      <w:divBdr>
        <w:top w:val="none" w:sz="0" w:space="0" w:color="auto"/>
        <w:left w:val="none" w:sz="0" w:space="0" w:color="auto"/>
        <w:bottom w:val="none" w:sz="0" w:space="0" w:color="auto"/>
        <w:right w:val="none" w:sz="0" w:space="0" w:color="auto"/>
      </w:divBdr>
    </w:div>
    <w:div w:id="599264301">
      <w:bodyDiv w:val="1"/>
      <w:marLeft w:val="0"/>
      <w:marRight w:val="0"/>
      <w:marTop w:val="0"/>
      <w:marBottom w:val="0"/>
      <w:divBdr>
        <w:top w:val="none" w:sz="0" w:space="0" w:color="auto"/>
        <w:left w:val="none" w:sz="0" w:space="0" w:color="auto"/>
        <w:bottom w:val="none" w:sz="0" w:space="0" w:color="auto"/>
        <w:right w:val="none" w:sz="0" w:space="0" w:color="auto"/>
      </w:divBdr>
    </w:div>
    <w:div w:id="608511240">
      <w:bodyDiv w:val="1"/>
      <w:marLeft w:val="0"/>
      <w:marRight w:val="0"/>
      <w:marTop w:val="0"/>
      <w:marBottom w:val="0"/>
      <w:divBdr>
        <w:top w:val="none" w:sz="0" w:space="0" w:color="auto"/>
        <w:left w:val="none" w:sz="0" w:space="0" w:color="auto"/>
        <w:bottom w:val="none" w:sz="0" w:space="0" w:color="auto"/>
        <w:right w:val="none" w:sz="0" w:space="0" w:color="auto"/>
      </w:divBdr>
    </w:div>
    <w:div w:id="656802818">
      <w:bodyDiv w:val="1"/>
      <w:marLeft w:val="0"/>
      <w:marRight w:val="0"/>
      <w:marTop w:val="0"/>
      <w:marBottom w:val="0"/>
      <w:divBdr>
        <w:top w:val="none" w:sz="0" w:space="0" w:color="auto"/>
        <w:left w:val="none" w:sz="0" w:space="0" w:color="auto"/>
        <w:bottom w:val="none" w:sz="0" w:space="0" w:color="auto"/>
        <w:right w:val="none" w:sz="0" w:space="0" w:color="auto"/>
      </w:divBdr>
    </w:div>
    <w:div w:id="672496041">
      <w:bodyDiv w:val="1"/>
      <w:marLeft w:val="0"/>
      <w:marRight w:val="0"/>
      <w:marTop w:val="0"/>
      <w:marBottom w:val="0"/>
      <w:divBdr>
        <w:top w:val="none" w:sz="0" w:space="0" w:color="auto"/>
        <w:left w:val="none" w:sz="0" w:space="0" w:color="auto"/>
        <w:bottom w:val="none" w:sz="0" w:space="0" w:color="auto"/>
        <w:right w:val="none" w:sz="0" w:space="0" w:color="auto"/>
      </w:divBdr>
    </w:div>
    <w:div w:id="685445621">
      <w:bodyDiv w:val="1"/>
      <w:marLeft w:val="0"/>
      <w:marRight w:val="0"/>
      <w:marTop w:val="0"/>
      <w:marBottom w:val="0"/>
      <w:divBdr>
        <w:top w:val="none" w:sz="0" w:space="0" w:color="auto"/>
        <w:left w:val="none" w:sz="0" w:space="0" w:color="auto"/>
        <w:bottom w:val="none" w:sz="0" w:space="0" w:color="auto"/>
        <w:right w:val="none" w:sz="0" w:space="0" w:color="auto"/>
      </w:divBdr>
    </w:div>
    <w:div w:id="715006404">
      <w:bodyDiv w:val="1"/>
      <w:marLeft w:val="0"/>
      <w:marRight w:val="0"/>
      <w:marTop w:val="0"/>
      <w:marBottom w:val="0"/>
      <w:divBdr>
        <w:top w:val="none" w:sz="0" w:space="0" w:color="auto"/>
        <w:left w:val="none" w:sz="0" w:space="0" w:color="auto"/>
        <w:bottom w:val="none" w:sz="0" w:space="0" w:color="auto"/>
        <w:right w:val="none" w:sz="0" w:space="0" w:color="auto"/>
      </w:divBdr>
    </w:div>
    <w:div w:id="751050829">
      <w:bodyDiv w:val="1"/>
      <w:marLeft w:val="0"/>
      <w:marRight w:val="0"/>
      <w:marTop w:val="0"/>
      <w:marBottom w:val="0"/>
      <w:divBdr>
        <w:top w:val="none" w:sz="0" w:space="0" w:color="auto"/>
        <w:left w:val="none" w:sz="0" w:space="0" w:color="auto"/>
        <w:bottom w:val="none" w:sz="0" w:space="0" w:color="auto"/>
        <w:right w:val="none" w:sz="0" w:space="0" w:color="auto"/>
      </w:divBdr>
    </w:div>
    <w:div w:id="772087496">
      <w:bodyDiv w:val="1"/>
      <w:marLeft w:val="0"/>
      <w:marRight w:val="0"/>
      <w:marTop w:val="0"/>
      <w:marBottom w:val="0"/>
      <w:divBdr>
        <w:top w:val="none" w:sz="0" w:space="0" w:color="auto"/>
        <w:left w:val="none" w:sz="0" w:space="0" w:color="auto"/>
        <w:bottom w:val="none" w:sz="0" w:space="0" w:color="auto"/>
        <w:right w:val="none" w:sz="0" w:space="0" w:color="auto"/>
      </w:divBdr>
    </w:div>
    <w:div w:id="784730888">
      <w:bodyDiv w:val="1"/>
      <w:marLeft w:val="0"/>
      <w:marRight w:val="0"/>
      <w:marTop w:val="0"/>
      <w:marBottom w:val="0"/>
      <w:divBdr>
        <w:top w:val="none" w:sz="0" w:space="0" w:color="auto"/>
        <w:left w:val="none" w:sz="0" w:space="0" w:color="auto"/>
        <w:bottom w:val="none" w:sz="0" w:space="0" w:color="auto"/>
        <w:right w:val="none" w:sz="0" w:space="0" w:color="auto"/>
      </w:divBdr>
    </w:div>
    <w:div w:id="813596083">
      <w:bodyDiv w:val="1"/>
      <w:marLeft w:val="0"/>
      <w:marRight w:val="0"/>
      <w:marTop w:val="0"/>
      <w:marBottom w:val="0"/>
      <w:divBdr>
        <w:top w:val="none" w:sz="0" w:space="0" w:color="auto"/>
        <w:left w:val="none" w:sz="0" w:space="0" w:color="auto"/>
        <w:bottom w:val="none" w:sz="0" w:space="0" w:color="auto"/>
        <w:right w:val="none" w:sz="0" w:space="0" w:color="auto"/>
      </w:divBdr>
    </w:div>
    <w:div w:id="831988063">
      <w:bodyDiv w:val="1"/>
      <w:marLeft w:val="0"/>
      <w:marRight w:val="0"/>
      <w:marTop w:val="0"/>
      <w:marBottom w:val="0"/>
      <w:divBdr>
        <w:top w:val="none" w:sz="0" w:space="0" w:color="auto"/>
        <w:left w:val="none" w:sz="0" w:space="0" w:color="auto"/>
        <w:bottom w:val="none" w:sz="0" w:space="0" w:color="auto"/>
        <w:right w:val="none" w:sz="0" w:space="0" w:color="auto"/>
      </w:divBdr>
    </w:div>
    <w:div w:id="869535258">
      <w:bodyDiv w:val="1"/>
      <w:marLeft w:val="0"/>
      <w:marRight w:val="0"/>
      <w:marTop w:val="0"/>
      <w:marBottom w:val="0"/>
      <w:divBdr>
        <w:top w:val="none" w:sz="0" w:space="0" w:color="auto"/>
        <w:left w:val="none" w:sz="0" w:space="0" w:color="auto"/>
        <w:bottom w:val="none" w:sz="0" w:space="0" w:color="auto"/>
        <w:right w:val="none" w:sz="0" w:space="0" w:color="auto"/>
      </w:divBdr>
    </w:div>
    <w:div w:id="872032410">
      <w:bodyDiv w:val="1"/>
      <w:marLeft w:val="0"/>
      <w:marRight w:val="0"/>
      <w:marTop w:val="0"/>
      <w:marBottom w:val="0"/>
      <w:divBdr>
        <w:top w:val="none" w:sz="0" w:space="0" w:color="auto"/>
        <w:left w:val="none" w:sz="0" w:space="0" w:color="auto"/>
        <w:bottom w:val="none" w:sz="0" w:space="0" w:color="auto"/>
        <w:right w:val="none" w:sz="0" w:space="0" w:color="auto"/>
      </w:divBdr>
    </w:div>
    <w:div w:id="881864060">
      <w:bodyDiv w:val="1"/>
      <w:marLeft w:val="0"/>
      <w:marRight w:val="0"/>
      <w:marTop w:val="0"/>
      <w:marBottom w:val="0"/>
      <w:divBdr>
        <w:top w:val="none" w:sz="0" w:space="0" w:color="auto"/>
        <w:left w:val="none" w:sz="0" w:space="0" w:color="auto"/>
        <w:bottom w:val="none" w:sz="0" w:space="0" w:color="auto"/>
        <w:right w:val="none" w:sz="0" w:space="0" w:color="auto"/>
      </w:divBdr>
    </w:div>
    <w:div w:id="951013817">
      <w:bodyDiv w:val="1"/>
      <w:marLeft w:val="0"/>
      <w:marRight w:val="0"/>
      <w:marTop w:val="0"/>
      <w:marBottom w:val="0"/>
      <w:divBdr>
        <w:top w:val="none" w:sz="0" w:space="0" w:color="auto"/>
        <w:left w:val="none" w:sz="0" w:space="0" w:color="auto"/>
        <w:bottom w:val="none" w:sz="0" w:space="0" w:color="auto"/>
        <w:right w:val="none" w:sz="0" w:space="0" w:color="auto"/>
      </w:divBdr>
    </w:div>
    <w:div w:id="980842923">
      <w:bodyDiv w:val="1"/>
      <w:marLeft w:val="0"/>
      <w:marRight w:val="0"/>
      <w:marTop w:val="0"/>
      <w:marBottom w:val="0"/>
      <w:divBdr>
        <w:top w:val="none" w:sz="0" w:space="0" w:color="auto"/>
        <w:left w:val="none" w:sz="0" w:space="0" w:color="auto"/>
        <w:bottom w:val="none" w:sz="0" w:space="0" w:color="auto"/>
        <w:right w:val="none" w:sz="0" w:space="0" w:color="auto"/>
      </w:divBdr>
      <w:divsChild>
        <w:div w:id="616063918">
          <w:marLeft w:val="0"/>
          <w:marRight w:val="0"/>
          <w:marTop w:val="0"/>
          <w:marBottom w:val="0"/>
          <w:divBdr>
            <w:top w:val="none" w:sz="0" w:space="0" w:color="auto"/>
            <w:left w:val="none" w:sz="0" w:space="0" w:color="auto"/>
            <w:bottom w:val="none" w:sz="0" w:space="0" w:color="auto"/>
            <w:right w:val="none" w:sz="0" w:space="0" w:color="auto"/>
          </w:divBdr>
          <w:divsChild>
            <w:div w:id="1771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78647">
      <w:bodyDiv w:val="1"/>
      <w:marLeft w:val="0"/>
      <w:marRight w:val="0"/>
      <w:marTop w:val="0"/>
      <w:marBottom w:val="0"/>
      <w:divBdr>
        <w:top w:val="none" w:sz="0" w:space="0" w:color="auto"/>
        <w:left w:val="none" w:sz="0" w:space="0" w:color="auto"/>
        <w:bottom w:val="none" w:sz="0" w:space="0" w:color="auto"/>
        <w:right w:val="none" w:sz="0" w:space="0" w:color="auto"/>
      </w:divBdr>
    </w:div>
    <w:div w:id="1035496090">
      <w:bodyDiv w:val="1"/>
      <w:marLeft w:val="0"/>
      <w:marRight w:val="0"/>
      <w:marTop w:val="0"/>
      <w:marBottom w:val="0"/>
      <w:divBdr>
        <w:top w:val="none" w:sz="0" w:space="0" w:color="auto"/>
        <w:left w:val="none" w:sz="0" w:space="0" w:color="auto"/>
        <w:bottom w:val="none" w:sz="0" w:space="0" w:color="auto"/>
        <w:right w:val="none" w:sz="0" w:space="0" w:color="auto"/>
      </w:divBdr>
    </w:div>
    <w:div w:id="1182935665">
      <w:bodyDiv w:val="1"/>
      <w:marLeft w:val="0"/>
      <w:marRight w:val="0"/>
      <w:marTop w:val="0"/>
      <w:marBottom w:val="0"/>
      <w:divBdr>
        <w:top w:val="none" w:sz="0" w:space="0" w:color="auto"/>
        <w:left w:val="none" w:sz="0" w:space="0" w:color="auto"/>
        <w:bottom w:val="none" w:sz="0" w:space="0" w:color="auto"/>
        <w:right w:val="none" w:sz="0" w:space="0" w:color="auto"/>
      </w:divBdr>
    </w:div>
    <w:div w:id="1192383097">
      <w:bodyDiv w:val="1"/>
      <w:marLeft w:val="0"/>
      <w:marRight w:val="0"/>
      <w:marTop w:val="0"/>
      <w:marBottom w:val="0"/>
      <w:divBdr>
        <w:top w:val="none" w:sz="0" w:space="0" w:color="auto"/>
        <w:left w:val="none" w:sz="0" w:space="0" w:color="auto"/>
        <w:bottom w:val="none" w:sz="0" w:space="0" w:color="auto"/>
        <w:right w:val="none" w:sz="0" w:space="0" w:color="auto"/>
      </w:divBdr>
    </w:div>
    <w:div w:id="1211766322">
      <w:bodyDiv w:val="1"/>
      <w:marLeft w:val="0"/>
      <w:marRight w:val="0"/>
      <w:marTop w:val="0"/>
      <w:marBottom w:val="0"/>
      <w:divBdr>
        <w:top w:val="none" w:sz="0" w:space="0" w:color="auto"/>
        <w:left w:val="none" w:sz="0" w:space="0" w:color="auto"/>
        <w:bottom w:val="none" w:sz="0" w:space="0" w:color="auto"/>
        <w:right w:val="none" w:sz="0" w:space="0" w:color="auto"/>
      </w:divBdr>
    </w:div>
    <w:div w:id="1229341753">
      <w:bodyDiv w:val="1"/>
      <w:marLeft w:val="0"/>
      <w:marRight w:val="0"/>
      <w:marTop w:val="0"/>
      <w:marBottom w:val="0"/>
      <w:divBdr>
        <w:top w:val="none" w:sz="0" w:space="0" w:color="auto"/>
        <w:left w:val="none" w:sz="0" w:space="0" w:color="auto"/>
        <w:bottom w:val="none" w:sz="0" w:space="0" w:color="auto"/>
        <w:right w:val="none" w:sz="0" w:space="0" w:color="auto"/>
      </w:divBdr>
    </w:div>
    <w:div w:id="1293093956">
      <w:bodyDiv w:val="1"/>
      <w:marLeft w:val="0"/>
      <w:marRight w:val="0"/>
      <w:marTop w:val="0"/>
      <w:marBottom w:val="0"/>
      <w:divBdr>
        <w:top w:val="none" w:sz="0" w:space="0" w:color="auto"/>
        <w:left w:val="none" w:sz="0" w:space="0" w:color="auto"/>
        <w:bottom w:val="none" w:sz="0" w:space="0" w:color="auto"/>
        <w:right w:val="none" w:sz="0" w:space="0" w:color="auto"/>
      </w:divBdr>
    </w:div>
    <w:div w:id="1319383580">
      <w:bodyDiv w:val="1"/>
      <w:marLeft w:val="0"/>
      <w:marRight w:val="0"/>
      <w:marTop w:val="0"/>
      <w:marBottom w:val="0"/>
      <w:divBdr>
        <w:top w:val="none" w:sz="0" w:space="0" w:color="auto"/>
        <w:left w:val="none" w:sz="0" w:space="0" w:color="auto"/>
        <w:bottom w:val="none" w:sz="0" w:space="0" w:color="auto"/>
        <w:right w:val="none" w:sz="0" w:space="0" w:color="auto"/>
      </w:divBdr>
    </w:div>
    <w:div w:id="1322193644">
      <w:bodyDiv w:val="1"/>
      <w:marLeft w:val="0"/>
      <w:marRight w:val="0"/>
      <w:marTop w:val="0"/>
      <w:marBottom w:val="0"/>
      <w:divBdr>
        <w:top w:val="none" w:sz="0" w:space="0" w:color="auto"/>
        <w:left w:val="none" w:sz="0" w:space="0" w:color="auto"/>
        <w:bottom w:val="none" w:sz="0" w:space="0" w:color="auto"/>
        <w:right w:val="none" w:sz="0" w:space="0" w:color="auto"/>
      </w:divBdr>
    </w:div>
    <w:div w:id="1343242922">
      <w:bodyDiv w:val="1"/>
      <w:marLeft w:val="0"/>
      <w:marRight w:val="0"/>
      <w:marTop w:val="0"/>
      <w:marBottom w:val="0"/>
      <w:divBdr>
        <w:top w:val="none" w:sz="0" w:space="0" w:color="auto"/>
        <w:left w:val="none" w:sz="0" w:space="0" w:color="auto"/>
        <w:bottom w:val="none" w:sz="0" w:space="0" w:color="auto"/>
        <w:right w:val="none" w:sz="0" w:space="0" w:color="auto"/>
      </w:divBdr>
    </w:div>
    <w:div w:id="1355575421">
      <w:bodyDiv w:val="1"/>
      <w:marLeft w:val="0"/>
      <w:marRight w:val="0"/>
      <w:marTop w:val="0"/>
      <w:marBottom w:val="0"/>
      <w:divBdr>
        <w:top w:val="none" w:sz="0" w:space="0" w:color="auto"/>
        <w:left w:val="none" w:sz="0" w:space="0" w:color="auto"/>
        <w:bottom w:val="none" w:sz="0" w:space="0" w:color="auto"/>
        <w:right w:val="none" w:sz="0" w:space="0" w:color="auto"/>
      </w:divBdr>
    </w:div>
    <w:div w:id="1367606669">
      <w:bodyDiv w:val="1"/>
      <w:marLeft w:val="0"/>
      <w:marRight w:val="0"/>
      <w:marTop w:val="0"/>
      <w:marBottom w:val="0"/>
      <w:divBdr>
        <w:top w:val="none" w:sz="0" w:space="0" w:color="auto"/>
        <w:left w:val="none" w:sz="0" w:space="0" w:color="auto"/>
        <w:bottom w:val="none" w:sz="0" w:space="0" w:color="auto"/>
        <w:right w:val="none" w:sz="0" w:space="0" w:color="auto"/>
      </w:divBdr>
    </w:div>
    <w:div w:id="1389495001">
      <w:bodyDiv w:val="1"/>
      <w:marLeft w:val="0"/>
      <w:marRight w:val="0"/>
      <w:marTop w:val="0"/>
      <w:marBottom w:val="0"/>
      <w:divBdr>
        <w:top w:val="none" w:sz="0" w:space="0" w:color="auto"/>
        <w:left w:val="none" w:sz="0" w:space="0" w:color="auto"/>
        <w:bottom w:val="none" w:sz="0" w:space="0" w:color="auto"/>
        <w:right w:val="none" w:sz="0" w:space="0" w:color="auto"/>
      </w:divBdr>
    </w:div>
    <w:div w:id="1440877804">
      <w:bodyDiv w:val="1"/>
      <w:marLeft w:val="0"/>
      <w:marRight w:val="0"/>
      <w:marTop w:val="0"/>
      <w:marBottom w:val="0"/>
      <w:divBdr>
        <w:top w:val="none" w:sz="0" w:space="0" w:color="auto"/>
        <w:left w:val="none" w:sz="0" w:space="0" w:color="auto"/>
        <w:bottom w:val="none" w:sz="0" w:space="0" w:color="auto"/>
        <w:right w:val="none" w:sz="0" w:space="0" w:color="auto"/>
      </w:divBdr>
    </w:div>
    <w:div w:id="1537542040">
      <w:bodyDiv w:val="1"/>
      <w:marLeft w:val="0"/>
      <w:marRight w:val="0"/>
      <w:marTop w:val="0"/>
      <w:marBottom w:val="0"/>
      <w:divBdr>
        <w:top w:val="none" w:sz="0" w:space="0" w:color="auto"/>
        <w:left w:val="none" w:sz="0" w:space="0" w:color="auto"/>
        <w:bottom w:val="none" w:sz="0" w:space="0" w:color="auto"/>
        <w:right w:val="none" w:sz="0" w:space="0" w:color="auto"/>
      </w:divBdr>
    </w:div>
    <w:div w:id="1666978074">
      <w:bodyDiv w:val="1"/>
      <w:marLeft w:val="0"/>
      <w:marRight w:val="0"/>
      <w:marTop w:val="0"/>
      <w:marBottom w:val="0"/>
      <w:divBdr>
        <w:top w:val="none" w:sz="0" w:space="0" w:color="auto"/>
        <w:left w:val="none" w:sz="0" w:space="0" w:color="auto"/>
        <w:bottom w:val="none" w:sz="0" w:space="0" w:color="auto"/>
        <w:right w:val="none" w:sz="0" w:space="0" w:color="auto"/>
      </w:divBdr>
    </w:div>
    <w:div w:id="1673990936">
      <w:bodyDiv w:val="1"/>
      <w:marLeft w:val="0"/>
      <w:marRight w:val="0"/>
      <w:marTop w:val="0"/>
      <w:marBottom w:val="0"/>
      <w:divBdr>
        <w:top w:val="none" w:sz="0" w:space="0" w:color="auto"/>
        <w:left w:val="none" w:sz="0" w:space="0" w:color="auto"/>
        <w:bottom w:val="none" w:sz="0" w:space="0" w:color="auto"/>
        <w:right w:val="none" w:sz="0" w:space="0" w:color="auto"/>
      </w:divBdr>
    </w:div>
    <w:div w:id="1675306305">
      <w:bodyDiv w:val="1"/>
      <w:marLeft w:val="0"/>
      <w:marRight w:val="0"/>
      <w:marTop w:val="0"/>
      <w:marBottom w:val="0"/>
      <w:divBdr>
        <w:top w:val="none" w:sz="0" w:space="0" w:color="auto"/>
        <w:left w:val="none" w:sz="0" w:space="0" w:color="auto"/>
        <w:bottom w:val="none" w:sz="0" w:space="0" w:color="auto"/>
        <w:right w:val="none" w:sz="0" w:space="0" w:color="auto"/>
      </w:divBdr>
    </w:div>
    <w:div w:id="1700739567">
      <w:bodyDiv w:val="1"/>
      <w:marLeft w:val="0"/>
      <w:marRight w:val="0"/>
      <w:marTop w:val="0"/>
      <w:marBottom w:val="0"/>
      <w:divBdr>
        <w:top w:val="none" w:sz="0" w:space="0" w:color="auto"/>
        <w:left w:val="none" w:sz="0" w:space="0" w:color="auto"/>
        <w:bottom w:val="none" w:sz="0" w:space="0" w:color="auto"/>
        <w:right w:val="none" w:sz="0" w:space="0" w:color="auto"/>
      </w:divBdr>
    </w:div>
    <w:div w:id="1707171048">
      <w:bodyDiv w:val="1"/>
      <w:marLeft w:val="0"/>
      <w:marRight w:val="0"/>
      <w:marTop w:val="0"/>
      <w:marBottom w:val="0"/>
      <w:divBdr>
        <w:top w:val="none" w:sz="0" w:space="0" w:color="auto"/>
        <w:left w:val="none" w:sz="0" w:space="0" w:color="auto"/>
        <w:bottom w:val="none" w:sz="0" w:space="0" w:color="auto"/>
        <w:right w:val="none" w:sz="0" w:space="0" w:color="auto"/>
      </w:divBdr>
    </w:div>
    <w:div w:id="1751269005">
      <w:bodyDiv w:val="1"/>
      <w:marLeft w:val="0"/>
      <w:marRight w:val="0"/>
      <w:marTop w:val="0"/>
      <w:marBottom w:val="0"/>
      <w:divBdr>
        <w:top w:val="none" w:sz="0" w:space="0" w:color="auto"/>
        <w:left w:val="none" w:sz="0" w:space="0" w:color="auto"/>
        <w:bottom w:val="none" w:sz="0" w:space="0" w:color="auto"/>
        <w:right w:val="none" w:sz="0" w:space="0" w:color="auto"/>
      </w:divBdr>
    </w:div>
    <w:div w:id="1847557184">
      <w:bodyDiv w:val="1"/>
      <w:marLeft w:val="0"/>
      <w:marRight w:val="0"/>
      <w:marTop w:val="0"/>
      <w:marBottom w:val="0"/>
      <w:divBdr>
        <w:top w:val="none" w:sz="0" w:space="0" w:color="auto"/>
        <w:left w:val="none" w:sz="0" w:space="0" w:color="auto"/>
        <w:bottom w:val="none" w:sz="0" w:space="0" w:color="auto"/>
        <w:right w:val="none" w:sz="0" w:space="0" w:color="auto"/>
      </w:divBdr>
    </w:div>
    <w:div w:id="1866939655">
      <w:bodyDiv w:val="1"/>
      <w:marLeft w:val="0"/>
      <w:marRight w:val="0"/>
      <w:marTop w:val="0"/>
      <w:marBottom w:val="0"/>
      <w:divBdr>
        <w:top w:val="none" w:sz="0" w:space="0" w:color="auto"/>
        <w:left w:val="none" w:sz="0" w:space="0" w:color="auto"/>
        <w:bottom w:val="none" w:sz="0" w:space="0" w:color="auto"/>
        <w:right w:val="none" w:sz="0" w:space="0" w:color="auto"/>
      </w:divBdr>
    </w:div>
    <w:div w:id="1914391671">
      <w:bodyDiv w:val="1"/>
      <w:marLeft w:val="0"/>
      <w:marRight w:val="0"/>
      <w:marTop w:val="0"/>
      <w:marBottom w:val="0"/>
      <w:divBdr>
        <w:top w:val="none" w:sz="0" w:space="0" w:color="auto"/>
        <w:left w:val="none" w:sz="0" w:space="0" w:color="auto"/>
        <w:bottom w:val="none" w:sz="0" w:space="0" w:color="auto"/>
        <w:right w:val="none" w:sz="0" w:space="0" w:color="auto"/>
      </w:divBdr>
      <w:divsChild>
        <w:div w:id="529804711">
          <w:marLeft w:val="0"/>
          <w:marRight w:val="0"/>
          <w:marTop w:val="90"/>
          <w:marBottom w:val="0"/>
          <w:divBdr>
            <w:top w:val="none" w:sz="0" w:space="0" w:color="auto"/>
            <w:left w:val="none" w:sz="0" w:space="0" w:color="auto"/>
            <w:bottom w:val="none" w:sz="0" w:space="0" w:color="auto"/>
            <w:right w:val="none" w:sz="0" w:space="0" w:color="auto"/>
          </w:divBdr>
          <w:divsChild>
            <w:div w:id="1809207586">
              <w:marLeft w:val="0"/>
              <w:marRight w:val="0"/>
              <w:marTop w:val="0"/>
              <w:marBottom w:val="0"/>
              <w:divBdr>
                <w:top w:val="none" w:sz="0" w:space="0" w:color="auto"/>
                <w:left w:val="none" w:sz="0" w:space="0" w:color="auto"/>
                <w:bottom w:val="none" w:sz="0" w:space="0" w:color="auto"/>
                <w:right w:val="none" w:sz="0" w:space="0" w:color="auto"/>
              </w:divBdr>
              <w:divsChild>
                <w:div w:id="100034170">
                  <w:marLeft w:val="0"/>
                  <w:marRight w:val="0"/>
                  <w:marTop w:val="0"/>
                  <w:marBottom w:val="0"/>
                  <w:divBdr>
                    <w:top w:val="none" w:sz="0" w:space="0" w:color="auto"/>
                    <w:left w:val="none" w:sz="0" w:space="0" w:color="auto"/>
                    <w:bottom w:val="none" w:sz="0" w:space="0" w:color="auto"/>
                    <w:right w:val="none" w:sz="0" w:space="0" w:color="auto"/>
                  </w:divBdr>
                  <w:divsChild>
                    <w:div w:id="1446074611">
                      <w:marLeft w:val="0"/>
                      <w:marRight w:val="0"/>
                      <w:marTop w:val="0"/>
                      <w:marBottom w:val="405"/>
                      <w:divBdr>
                        <w:top w:val="none" w:sz="0" w:space="0" w:color="auto"/>
                        <w:left w:val="none" w:sz="0" w:space="0" w:color="auto"/>
                        <w:bottom w:val="none" w:sz="0" w:space="0" w:color="auto"/>
                        <w:right w:val="none" w:sz="0" w:space="0" w:color="auto"/>
                      </w:divBdr>
                      <w:divsChild>
                        <w:div w:id="1281374227">
                          <w:marLeft w:val="0"/>
                          <w:marRight w:val="0"/>
                          <w:marTop w:val="0"/>
                          <w:marBottom w:val="0"/>
                          <w:divBdr>
                            <w:top w:val="none" w:sz="0" w:space="0" w:color="auto"/>
                            <w:left w:val="none" w:sz="0" w:space="0" w:color="auto"/>
                            <w:bottom w:val="none" w:sz="0" w:space="0" w:color="auto"/>
                            <w:right w:val="none" w:sz="0" w:space="0" w:color="auto"/>
                          </w:divBdr>
                          <w:divsChild>
                            <w:div w:id="2002997989">
                              <w:marLeft w:val="0"/>
                              <w:marRight w:val="0"/>
                              <w:marTop w:val="0"/>
                              <w:marBottom w:val="0"/>
                              <w:divBdr>
                                <w:top w:val="none" w:sz="0" w:space="0" w:color="auto"/>
                                <w:left w:val="none" w:sz="0" w:space="0" w:color="auto"/>
                                <w:bottom w:val="none" w:sz="0" w:space="0" w:color="auto"/>
                                <w:right w:val="none" w:sz="0" w:space="0" w:color="auto"/>
                              </w:divBdr>
                              <w:divsChild>
                                <w:div w:id="12316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649790">
      <w:bodyDiv w:val="1"/>
      <w:marLeft w:val="0"/>
      <w:marRight w:val="0"/>
      <w:marTop w:val="0"/>
      <w:marBottom w:val="0"/>
      <w:divBdr>
        <w:top w:val="none" w:sz="0" w:space="0" w:color="auto"/>
        <w:left w:val="none" w:sz="0" w:space="0" w:color="auto"/>
        <w:bottom w:val="none" w:sz="0" w:space="0" w:color="auto"/>
        <w:right w:val="none" w:sz="0" w:space="0" w:color="auto"/>
      </w:divBdr>
    </w:div>
    <w:div w:id="1945842527">
      <w:bodyDiv w:val="1"/>
      <w:marLeft w:val="0"/>
      <w:marRight w:val="0"/>
      <w:marTop w:val="0"/>
      <w:marBottom w:val="0"/>
      <w:divBdr>
        <w:top w:val="none" w:sz="0" w:space="0" w:color="auto"/>
        <w:left w:val="none" w:sz="0" w:space="0" w:color="auto"/>
        <w:bottom w:val="none" w:sz="0" w:space="0" w:color="auto"/>
        <w:right w:val="none" w:sz="0" w:space="0" w:color="auto"/>
      </w:divBdr>
    </w:div>
    <w:div w:id="1979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europa.eu/info/european-union-and-united-kingdom-forging-new-partnership/future-partnership/getting-ready-end-transition-period_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draft-text-agreement-new-partnership-united-kingdom_en" TargetMode="External"/><Relationship Id="rId3" Type="http://schemas.openxmlformats.org/officeDocument/2006/relationships/hyperlink" Target="https://eur-lex.europa.eu/legal-content/PL/TXT/?uri=CELEX:02016L0680-20160504" TargetMode="External"/><Relationship Id="rId7" Type="http://schemas.openxmlformats.org/officeDocument/2006/relationships/hyperlink" Target="https://www.consilium.europa.eu/media/42736/st05870-ad01re03-en20.pdf" TargetMode="External"/><Relationship Id="rId2" Type="http://schemas.openxmlformats.org/officeDocument/2006/relationships/hyperlink" Target="https://eur-lex.europa.eu/legal-content/PL/TXT/?uri=CELEX:02016R0679-20160504" TargetMode="External"/><Relationship Id="rId1" Type="http://schemas.openxmlformats.org/officeDocument/2006/relationships/hyperlink" Target="https://ec.europa.eu/info/publications/draft-text-agreement-new-partnership-united-kingdom_en" TargetMode="External"/><Relationship Id="rId6" Type="http://schemas.openxmlformats.org/officeDocument/2006/relationships/hyperlink" Target="https://eur-lex.europa.eu/legal-content/PL/TXT/PDF/?uri=CELEX:52020XC0520(05)&amp;from=PL" TargetMode="External"/><Relationship Id="rId5" Type="http://schemas.openxmlformats.org/officeDocument/2006/relationships/hyperlink" Target="https://www.gov.uk/guidance/uk-tariffs-from-1-january-2021" TargetMode="External"/><Relationship Id="rId4" Type="http://schemas.openxmlformats.org/officeDocument/2006/relationships/hyperlink" Target="https://ec.europa.eu/info/sites/info/files/model-note-verbale-international-partn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4BF602B-A4A0-4830-82E4-AB708163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11510</Words>
  <Characters>69061</Characters>
  <Application>Microsoft Office Word</Application>
  <DocSecurity>0</DocSecurity>
  <Lines>575</Lines>
  <Paragraphs>160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Górnicz Ewa</dc:creator>
  <cp:lastModifiedBy>laptop</cp:lastModifiedBy>
  <cp:revision>2</cp:revision>
  <cp:lastPrinted>2020-07-07T16:18:00Z</cp:lastPrinted>
  <dcterms:created xsi:type="dcterms:W3CDTF">2020-09-24T13:21:00Z</dcterms:created>
  <dcterms:modified xsi:type="dcterms:W3CDTF">2020-09-24T13:21:00Z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-1631122403</vt:i4>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Last edited using">
    <vt:lpwstr>LW 7.0, Build 20190717</vt:lpwstr>
  </property>
  <property fmtid="{D5CDD505-2E9C-101B-9397-08002B2CF9AE}" pid="9" name="Created using">
    <vt:lpwstr>LW 7.0.1, Build 20190916</vt:lpwstr>
  </property>
</Properties>
</file>